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003A92">
        <w:rPr>
          <w:b/>
          <w:sz w:val="30"/>
          <w:lang w:eastAsia="zh-CN"/>
        </w:rPr>
        <w:t>13</w:t>
      </w:r>
      <w:r w:rsidRPr="004824A0">
        <w:rPr>
          <w:b/>
          <w:sz w:val="30"/>
          <w:lang w:eastAsia="zh-CN"/>
        </w:rPr>
        <w:t>.201</w:t>
      </w:r>
      <w:r w:rsidR="001D499C">
        <w:rPr>
          <w:b/>
          <w:sz w:val="30"/>
          <w:lang w:eastAsia="zh-CN"/>
        </w:rPr>
        <w:t>7</w:t>
      </w:r>
      <w:r w:rsidR="005412B1">
        <w:rPr>
          <w:b/>
          <w:sz w:val="30"/>
          <w:lang w:eastAsia="zh-CN"/>
        </w:rPr>
        <w:t>.</w:t>
      </w:r>
      <w:r w:rsidR="00003A92">
        <w:rPr>
          <w:b/>
          <w:sz w:val="30"/>
          <w:lang w:eastAsia="zh-CN"/>
        </w:rPr>
        <w:t>D</w:t>
      </w:r>
      <w:r w:rsidR="005412B1">
        <w:rPr>
          <w:b/>
          <w:sz w:val="30"/>
          <w:lang w:eastAsia="zh-CN"/>
        </w:rPr>
        <w:t>S</w:t>
      </w:r>
      <w:r w:rsidR="00003A92">
        <w:rPr>
          <w:b/>
          <w:sz w:val="30"/>
          <w:lang w:eastAsia="zh-CN"/>
        </w:rPr>
        <w:t>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312EBE" w:rsidRPr="00B1215C" w:rsidRDefault="00312EBE" w:rsidP="00B1215C">
      <w:pPr>
        <w:jc w:val="center"/>
        <w:rPr>
          <w:b/>
          <w:i/>
          <w:iCs/>
          <w:sz w:val="32"/>
          <w:szCs w:val="32"/>
        </w:rPr>
      </w:pPr>
      <w:r w:rsidRPr="00B1215C">
        <w:rPr>
          <w:b/>
          <w:i/>
          <w:iCs/>
          <w:sz w:val="32"/>
          <w:szCs w:val="32"/>
        </w:rPr>
        <w:t>„</w:t>
      </w:r>
      <w:r w:rsidR="00B1215C" w:rsidRPr="00B1215C">
        <w:rPr>
          <w:b/>
          <w:i/>
          <w:iCs/>
          <w:sz w:val="32"/>
          <w:szCs w:val="32"/>
        </w:rPr>
        <w:t>Przebudowa</w:t>
      </w:r>
      <w:r w:rsidRPr="00B1215C">
        <w:rPr>
          <w:b/>
          <w:i/>
          <w:iCs/>
          <w:sz w:val="32"/>
          <w:szCs w:val="32"/>
        </w:rPr>
        <w:t xml:space="preserve"> chodnika przy </w:t>
      </w:r>
      <w:r w:rsidR="00936450">
        <w:rPr>
          <w:b/>
          <w:i/>
          <w:iCs/>
          <w:sz w:val="32"/>
          <w:szCs w:val="32"/>
        </w:rPr>
        <w:t>A</w:t>
      </w:r>
      <w:r w:rsidRPr="00B1215C">
        <w:rPr>
          <w:b/>
          <w:i/>
          <w:iCs/>
          <w:sz w:val="32"/>
          <w:szCs w:val="32"/>
        </w:rPr>
        <w:t>l. Monte Cassino w Koszalinie”</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1215C">
        <w:rPr>
          <w:rFonts w:ascii="Arial" w:hAnsi="Arial" w:cs="Arial"/>
          <w:b/>
          <w:bCs/>
        </w:rPr>
        <w:t xml:space="preserve"> </w:t>
      </w:r>
      <w:r w:rsidR="0047658F">
        <w:rPr>
          <w:rFonts w:ascii="Arial" w:hAnsi="Arial" w:cs="Arial"/>
          <w:b/>
          <w:bCs/>
        </w:rPr>
        <w:t>19.05</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B1215C" w:rsidRDefault="00B1215C" w:rsidP="000423C2">
      <w:pPr>
        <w:spacing w:before="40" w:after="40"/>
        <w:jc w:val="center"/>
        <w:rPr>
          <w:b/>
          <w:bCs/>
          <w:smallCaps/>
        </w:rPr>
      </w:pPr>
    </w:p>
    <w:p w:rsidR="00B1215C" w:rsidRDefault="00B1215C" w:rsidP="000423C2">
      <w:pPr>
        <w:spacing w:before="40" w:after="40"/>
        <w:jc w:val="center"/>
        <w:rPr>
          <w:b/>
          <w:bCs/>
          <w:smallCaps/>
        </w:rPr>
      </w:pPr>
    </w:p>
    <w:p w:rsidR="00B1215C" w:rsidRDefault="00B1215C"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r w:rsidR="006F1990">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r w:rsidR="006F1990">
        <w:t xml:space="preserve"> </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1D499C">
        <w:t>6</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296E4A">
        <w:rPr>
          <w:b/>
          <w:bCs/>
        </w:rPr>
        <w:t>Dokumentacje Techniczne, 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B1215C" w:rsidRDefault="005D4055" w:rsidP="006F1990">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1215C">
        <w:rPr>
          <w:rFonts w:ascii="Times New Roman" w:hAnsi="Times New Roman" w:cs="Times New Roman"/>
          <w:sz w:val="24"/>
          <w:szCs w:val="24"/>
        </w:rPr>
        <w:t>Gmina Miasto Koszalin</w:t>
      </w:r>
      <w:r w:rsidR="00B1215C">
        <w:rPr>
          <w:rFonts w:ascii="Times New Roman" w:hAnsi="Times New Roman" w:cs="Times New Roman"/>
          <w:sz w:val="24"/>
          <w:szCs w:val="24"/>
        </w:rPr>
        <w:t xml:space="preserve"> </w:t>
      </w:r>
      <w:r w:rsidRPr="00B1215C">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6F1990"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6F1990">
        <w:rPr>
          <w:b/>
          <w:color w:val="FF0000"/>
        </w:rPr>
        <w:t>TZP.221</w:t>
      </w:r>
      <w:r w:rsidR="00B1215C" w:rsidRPr="006F1990">
        <w:rPr>
          <w:b/>
          <w:color w:val="FF0000"/>
        </w:rPr>
        <w:t>.13</w:t>
      </w:r>
      <w:r w:rsidR="00631D6F" w:rsidRPr="006F1990">
        <w:rPr>
          <w:b/>
          <w:color w:val="FF0000"/>
        </w:rPr>
        <w:t>.</w:t>
      </w:r>
      <w:r w:rsidR="0072504D" w:rsidRPr="006F1990">
        <w:rPr>
          <w:b/>
          <w:color w:val="FF0000"/>
        </w:rPr>
        <w:t>201</w:t>
      </w:r>
      <w:r w:rsidR="005D4055" w:rsidRPr="006F1990">
        <w:rPr>
          <w:b/>
          <w:color w:val="FF0000"/>
        </w:rPr>
        <w:t>7</w:t>
      </w:r>
      <w:r w:rsidR="00DB3829" w:rsidRPr="006F1990">
        <w:rPr>
          <w:b/>
          <w:color w:val="FF0000"/>
        </w:rPr>
        <w:t>.</w:t>
      </w:r>
      <w:r w:rsidR="00B1215C" w:rsidRPr="006F1990">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6F1990">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 xml:space="preserve">z </w:t>
      </w:r>
      <w:proofErr w:type="spellStart"/>
      <w:r w:rsidR="0092220D" w:rsidRPr="0072504D">
        <w:t>póżn</w:t>
      </w:r>
      <w:proofErr w:type="spellEnd"/>
      <w:r w:rsidR="0092220D" w:rsidRPr="0072504D">
        <w:t>. zmian</w:t>
      </w:r>
      <w:r w:rsidR="0092220D" w:rsidRPr="004824A0">
        <w:rPr>
          <w:color w:val="FF0000"/>
        </w:rPr>
        <w:t>.</w:t>
      </w:r>
      <w:r w:rsidRPr="004824A0">
        <w:t>).</w:t>
      </w:r>
    </w:p>
    <w:p w:rsidR="00F24226" w:rsidRDefault="001D01C3" w:rsidP="00C87B8A">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805630" w:rsidRPr="00C87B8A" w:rsidRDefault="00805630" w:rsidP="00805630">
      <w:pPr>
        <w:tabs>
          <w:tab w:val="left" w:pos="567"/>
        </w:tabs>
        <w:autoSpaceDE w:val="0"/>
        <w:autoSpaceDN w:val="0"/>
        <w:adjustRightInd w:val="0"/>
        <w:spacing w:before="40" w:after="40"/>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312EBE" w:rsidRPr="00312EBE" w:rsidRDefault="00E8631A" w:rsidP="00312EBE">
      <w:pPr>
        <w:numPr>
          <w:ilvl w:val="3"/>
          <w:numId w:val="18"/>
        </w:numPr>
        <w:tabs>
          <w:tab w:val="num" w:pos="720"/>
        </w:tabs>
        <w:autoSpaceDE w:val="0"/>
        <w:autoSpaceDN w:val="0"/>
        <w:adjustRightInd w:val="0"/>
        <w:spacing w:before="40" w:after="40" w:line="260" w:lineRule="exact"/>
        <w:ind w:left="284" w:hanging="284"/>
        <w:jc w:val="both"/>
        <w:rPr>
          <w:b/>
          <w:bCs/>
          <w:i/>
          <w:iCs/>
        </w:rPr>
      </w:pPr>
      <w:r w:rsidRPr="00312EBE">
        <w:rPr>
          <w:b/>
          <w:bCs/>
        </w:rPr>
        <w:t>Przedmio</w:t>
      </w:r>
      <w:r w:rsidR="0053319A" w:rsidRPr="00312EBE">
        <w:rPr>
          <w:b/>
          <w:bCs/>
        </w:rPr>
        <w:t xml:space="preserve">tem zamówienia jest </w:t>
      </w:r>
      <w:r w:rsidR="00B1215C">
        <w:rPr>
          <w:b/>
          <w:bCs/>
          <w:i/>
          <w:iCs/>
        </w:rPr>
        <w:t xml:space="preserve"> „Przebudowa chodnika przy </w:t>
      </w:r>
      <w:r w:rsidR="006F1990">
        <w:rPr>
          <w:b/>
          <w:bCs/>
          <w:i/>
          <w:iCs/>
        </w:rPr>
        <w:t>A</w:t>
      </w:r>
      <w:r w:rsidR="00312EBE" w:rsidRPr="00312EBE">
        <w:rPr>
          <w:b/>
          <w:bCs/>
          <w:i/>
          <w:iCs/>
        </w:rPr>
        <w:t xml:space="preserve">l. Monte Cassino </w:t>
      </w:r>
      <w:r w:rsidR="00936450">
        <w:rPr>
          <w:b/>
          <w:bCs/>
          <w:i/>
          <w:iCs/>
        </w:rPr>
        <w:br/>
      </w:r>
      <w:r w:rsidR="00B1215C">
        <w:rPr>
          <w:b/>
          <w:bCs/>
          <w:i/>
          <w:iCs/>
        </w:rPr>
        <w:t>w Koszalinie”</w:t>
      </w:r>
    </w:p>
    <w:p w:rsidR="00CC5B8B" w:rsidRPr="00312EBE" w:rsidRDefault="00CC5B8B" w:rsidP="006F1990">
      <w:pPr>
        <w:numPr>
          <w:ilvl w:val="3"/>
          <w:numId w:val="18"/>
        </w:numPr>
        <w:tabs>
          <w:tab w:val="num" w:pos="720"/>
        </w:tabs>
        <w:autoSpaceDE w:val="0"/>
        <w:autoSpaceDN w:val="0"/>
        <w:adjustRightInd w:val="0"/>
        <w:spacing w:before="40" w:after="40" w:line="260" w:lineRule="exact"/>
        <w:ind w:left="284" w:hanging="284"/>
        <w:jc w:val="both"/>
        <w:rPr>
          <w:b/>
          <w:bCs/>
          <w:color w:val="000000"/>
        </w:rPr>
      </w:pPr>
      <w:r w:rsidRPr="00312EBE">
        <w:rPr>
          <w:b/>
          <w:bCs/>
        </w:rPr>
        <w:t>Zakres robót budowlanych obejmuje</w:t>
      </w:r>
      <w:r w:rsidRPr="00750DDC">
        <w:t xml:space="preserve"> </w:t>
      </w:r>
      <w:r w:rsidRPr="00312EBE">
        <w:rPr>
          <w:b/>
          <w:bCs/>
          <w:sz w:val="22"/>
          <w:szCs w:val="22"/>
        </w:rPr>
        <w:t>prace:</w:t>
      </w:r>
    </w:p>
    <w:p w:rsidR="00B1215C" w:rsidRPr="00805630" w:rsidRDefault="00B1215C" w:rsidP="00936450">
      <w:pPr>
        <w:tabs>
          <w:tab w:val="left" w:pos="426"/>
        </w:tabs>
        <w:ind w:left="709" w:hanging="425"/>
        <w:jc w:val="both"/>
      </w:pPr>
      <w:r w:rsidRPr="00805630">
        <w:t>- roboty rozbiórkowe,</w:t>
      </w:r>
    </w:p>
    <w:p w:rsidR="00B1215C" w:rsidRPr="00805630" w:rsidRDefault="00B1215C" w:rsidP="00936450">
      <w:pPr>
        <w:tabs>
          <w:tab w:val="left" w:pos="426"/>
        </w:tabs>
        <w:ind w:left="709" w:hanging="425"/>
        <w:jc w:val="both"/>
      </w:pPr>
      <w:r w:rsidRPr="00805630">
        <w:t>- regulacja armatury gazowej 2 szt.,</w:t>
      </w:r>
    </w:p>
    <w:p w:rsidR="00B1215C" w:rsidRPr="00805630" w:rsidRDefault="00B1215C" w:rsidP="00936450">
      <w:pPr>
        <w:tabs>
          <w:tab w:val="left" w:pos="426"/>
        </w:tabs>
        <w:ind w:left="709" w:hanging="425"/>
        <w:jc w:val="both"/>
      </w:pPr>
      <w:r w:rsidRPr="00805630">
        <w:t>- regulacja zaworów wodociągowych – 2szt.,</w:t>
      </w:r>
    </w:p>
    <w:p w:rsidR="00B1215C" w:rsidRPr="00805630" w:rsidRDefault="00B1215C" w:rsidP="00936450">
      <w:pPr>
        <w:tabs>
          <w:tab w:val="left" w:pos="426"/>
        </w:tabs>
        <w:ind w:left="709" w:hanging="425"/>
        <w:jc w:val="both"/>
      </w:pPr>
      <w:r w:rsidRPr="00805630">
        <w:t>- regulacja studni teletechnicznych – 8szt.,</w:t>
      </w:r>
    </w:p>
    <w:p w:rsidR="00B1215C" w:rsidRPr="00805630" w:rsidRDefault="00B1215C" w:rsidP="00936450">
      <w:pPr>
        <w:tabs>
          <w:tab w:val="left" w:pos="426"/>
        </w:tabs>
        <w:ind w:left="709" w:hanging="425"/>
        <w:jc w:val="both"/>
      </w:pPr>
      <w:r w:rsidRPr="00805630">
        <w:t>- regulacja włazów kanałowych – 2szt.,</w:t>
      </w:r>
    </w:p>
    <w:p w:rsidR="00B1215C" w:rsidRPr="00805630" w:rsidRDefault="00B1215C" w:rsidP="00936450">
      <w:pPr>
        <w:tabs>
          <w:tab w:val="left" w:pos="426"/>
        </w:tabs>
        <w:ind w:left="426" w:hanging="142"/>
        <w:jc w:val="both"/>
      </w:pPr>
      <w:r w:rsidRPr="00805630">
        <w:t>- korytowanie głębokości 15cm wraz z profilowaniem i wycinką kolidujących korzeni drzew – 1.338,70m2,</w:t>
      </w:r>
    </w:p>
    <w:p w:rsidR="00B1215C" w:rsidRPr="00805630" w:rsidRDefault="00B1215C" w:rsidP="00936450">
      <w:pPr>
        <w:tabs>
          <w:tab w:val="left" w:pos="426"/>
        </w:tabs>
        <w:ind w:left="709" w:hanging="425"/>
        <w:jc w:val="both"/>
      </w:pPr>
      <w:r w:rsidRPr="00805630">
        <w:t>- podbudowa z kruszywa C50/30 gr. 15cm – 1.064,00m2,</w:t>
      </w:r>
    </w:p>
    <w:p w:rsidR="00B1215C" w:rsidRPr="00805630" w:rsidRDefault="00B1215C" w:rsidP="00936450">
      <w:pPr>
        <w:tabs>
          <w:tab w:val="left" w:pos="426"/>
        </w:tabs>
        <w:ind w:left="709" w:hanging="425"/>
        <w:jc w:val="both"/>
      </w:pPr>
      <w:r w:rsidRPr="00805630">
        <w:t>- nawierzchnia z brukowca z kamienia obrobionego z odzysku gr. 18-20cm – 67,00m2,</w:t>
      </w:r>
    </w:p>
    <w:p w:rsidR="00B1215C" w:rsidRPr="00805630" w:rsidRDefault="00B1215C" w:rsidP="00936450">
      <w:pPr>
        <w:tabs>
          <w:tab w:val="left" w:pos="426"/>
        </w:tabs>
        <w:ind w:left="709" w:hanging="425"/>
        <w:jc w:val="both"/>
      </w:pPr>
      <w:r w:rsidRPr="00805630">
        <w:t>- nawierzchnia z kostki betonowej prostokąt koloru szarego gr. 8cm – 46,00m2,</w:t>
      </w:r>
    </w:p>
    <w:p w:rsidR="00B1215C" w:rsidRPr="00805630" w:rsidRDefault="00B1215C" w:rsidP="00936450">
      <w:pPr>
        <w:tabs>
          <w:tab w:val="left" w:pos="426"/>
        </w:tabs>
        <w:ind w:left="709" w:hanging="425"/>
        <w:jc w:val="both"/>
      </w:pPr>
      <w:r w:rsidRPr="00805630">
        <w:t>-  demontaż i ponowny montaż słupków łańcuchowych U-12b – 38,00mb,</w:t>
      </w:r>
    </w:p>
    <w:p w:rsidR="00B1215C" w:rsidRPr="00805630" w:rsidRDefault="00B1215C" w:rsidP="00936450">
      <w:pPr>
        <w:tabs>
          <w:tab w:val="left" w:pos="426"/>
        </w:tabs>
        <w:ind w:left="709" w:hanging="425"/>
        <w:jc w:val="both"/>
      </w:pPr>
      <w:r w:rsidRPr="00805630">
        <w:t>- ustawienie krawężników kamiennych 20x25 na ławie betonowej – 114,00mb,</w:t>
      </w:r>
    </w:p>
    <w:p w:rsidR="00B1215C" w:rsidRPr="00805630" w:rsidRDefault="00B1215C" w:rsidP="00936450">
      <w:pPr>
        <w:tabs>
          <w:tab w:val="left" w:pos="426"/>
        </w:tabs>
        <w:ind w:left="709" w:hanging="425"/>
        <w:jc w:val="both"/>
      </w:pPr>
      <w:r w:rsidRPr="00805630">
        <w:t>- ustawienie krawężników kamiennych 18x44 na ławie betonowej – 36,00mb,</w:t>
      </w:r>
    </w:p>
    <w:p w:rsidR="00B1215C" w:rsidRPr="00805630" w:rsidRDefault="00B1215C" w:rsidP="00936450">
      <w:pPr>
        <w:tabs>
          <w:tab w:val="left" w:pos="426"/>
        </w:tabs>
        <w:ind w:left="709" w:hanging="425"/>
        <w:jc w:val="both"/>
      </w:pPr>
      <w:r w:rsidRPr="00805630">
        <w:t>- ustawienie krawężników kamiennych 20x25 na ławie betonowej  – 21,00mb,</w:t>
      </w:r>
    </w:p>
    <w:p w:rsidR="00B1215C" w:rsidRPr="00805630" w:rsidRDefault="00805630" w:rsidP="00936450">
      <w:pPr>
        <w:tabs>
          <w:tab w:val="left" w:pos="426"/>
        </w:tabs>
        <w:ind w:left="426" w:hanging="142"/>
        <w:jc w:val="both"/>
      </w:pPr>
      <w:r>
        <w:t xml:space="preserve">       </w:t>
      </w:r>
      <w:r w:rsidR="00B1215C" w:rsidRPr="00805630">
        <w:t xml:space="preserve">- nawierzchnia z płytek integracyjnych 30x30x5cm koloru intensywnie żółtego na </w:t>
      </w:r>
      <w:r>
        <w:t xml:space="preserve">  </w:t>
      </w:r>
      <w:r>
        <w:br/>
        <w:t xml:space="preserve">        </w:t>
      </w:r>
      <w:r w:rsidR="00B1215C" w:rsidRPr="00805630">
        <w:t>podsypce cementowo-piaskowej gr. 5cm – 18,00m2,</w:t>
      </w:r>
    </w:p>
    <w:p w:rsidR="00B1215C" w:rsidRPr="00805630" w:rsidRDefault="00B1215C" w:rsidP="00B1215C">
      <w:pPr>
        <w:tabs>
          <w:tab w:val="left" w:pos="426"/>
        </w:tabs>
        <w:ind w:left="720"/>
        <w:jc w:val="both"/>
      </w:pPr>
      <w:r w:rsidRPr="00805630">
        <w:t xml:space="preserve">- nawierzchnia chodnika z płytek betonowych 30x30x5cm koloru szarego na podsypce </w:t>
      </w:r>
      <w:r w:rsidR="00805630">
        <w:br/>
        <w:t xml:space="preserve">   </w:t>
      </w:r>
      <w:r w:rsidRPr="00805630">
        <w:t>cementowo-piaskowej gr. 5cm – 830,00m2,</w:t>
      </w:r>
    </w:p>
    <w:p w:rsidR="00B1215C" w:rsidRPr="00805630" w:rsidRDefault="00B1215C" w:rsidP="00B1215C">
      <w:pPr>
        <w:tabs>
          <w:tab w:val="left" w:pos="426"/>
        </w:tabs>
        <w:ind w:left="720"/>
        <w:jc w:val="both"/>
      </w:pPr>
      <w:r w:rsidRPr="00805630">
        <w:t xml:space="preserve">- nawierzchnia chodnika z płytek betonowych 30x30x5cm koloru czerwonego na </w:t>
      </w:r>
      <w:r w:rsidR="00805630">
        <w:br/>
        <w:t xml:space="preserve">   </w:t>
      </w:r>
      <w:r w:rsidRPr="00805630">
        <w:t>podsypce cementowo-piaskowej gr. 5cm – 170,00m2,</w:t>
      </w:r>
    </w:p>
    <w:p w:rsidR="00B1215C" w:rsidRPr="00805630" w:rsidRDefault="00B1215C" w:rsidP="00B1215C">
      <w:pPr>
        <w:tabs>
          <w:tab w:val="left" w:pos="426"/>
        </w:tabs>
        <w:ind w:left="720"/>
        <w:jc w:val="both"/>
      </w:pPr>
      <w:r w:rsidRPr="00805630">
        <w:t>- ustawienie obrzeży betonowych 8x30 na ławie betonowej C12/15 – 523,00mb,</w:t>
      </w:r>
    </w:p>
    <w:p w:rsidR="00B1215C" w:rsidRPr="00805630" w:rsidRDefault="00B1215C" w:rsidP="00B1215C">
      <w:pPr>
        <w:tabs>
          <w:tab w:val="left" w:pos="426"/>
        </w:tabs>
        <w:ind w:left="720"/>
        <w:jc w:val="both"/>
      </w:pPr>
      <w:r w:rsidRPr="00805630">
        <w:t xml:space="preserve">- renowacja istniejących trawników – 336,00m2. </w:t>
      </w:r>
    </w:p>
    <w:p w:rsidR="00936450" w:rsidRPr="00805630" w:rsidRDefault="00B1215C" w:rsidP="00805630">
      <w:pPr>
        <w:tabs>
          <w:tab w:val="left" w:pos="426"/>
        </w:tabs>
        <w:ind w:left="720" w:hanging="436"/>
        <w:jc w:val="both"/>
      </w:pPr>
      <w:r w:rsidRPr="00805630">
        <w:rPr>
          <w:b/>
          <w:color w:val="FF0000"/>
        </w:rPr>
        <w:t>Uwaga!!!</w:t>
      </w:r>
      <w:r w:rsidRPr="00805630">
        <w:rPr>
          <w:color w:val="FF0000"/>
        </w:rPr>
        <w:t xml:space="preserve"> </w:t>
      </w:r>
    </w:p>
    <w:p w:rsidR="00805630" w:rsidRDefault="00B1215C" w:rsidP="00805630">
      <w:pPr>
        <w:pStyle w:val="Akapitzlist"/>
        <w:numPr>
          <w:ilvl w:val="0"/>
          <w:numId w:val="40"/>
        </w:numPr>
        <w:tabs>
          <w:tab w:val="left" w:pos="426"/>
        </w:tabs>
        <w:ind w:left="709"/>
        <w:jc w:val="both"/>
      </w:pPr>
      <w:r w:rsidRPr="00805630">
        <w:t xml:space="preserve">Wykonawca robót zobowiązany jest do zgłaszania przed przystąpieniem do regulacji zaworów, studni i włazów właścicielom istniejących sieci (np. ZG, </w:t>
      </w:r>
      <w:proofErr w:type="spellStart"/>
      <w:r w:rsidRPr="00805630">
        <w:t>MWiK</w:t>
      </w:r>
      <w:proofErr w:type="spellEnd"/>
      <w:r w:rsidRPr="00805630">
        <w:t xml:space="preserve">, ORANGE…) oraz do poniesienia ewentualnych kosztów ich odbioru. Taką politykę stosuje ORANGE POLSKA „Zasady wykonywania odbioru końcowego/nadzoru właścicielskiego” dostępne na stronie internetowej http://www.orange.pl/kontrola-dostepu-do-infrastruktury.phtml po dopełnieniu odpowiednich formalności drogą mailową na adres </w:t>
      </w:r>
      <w:hyperlink r:id="rId11" w:history="1">
        <w:r w:rsidR="00936450" w:rsidRPr="00805630">
          <w:rPr>
            <w:rStyle w:val="Hipercze"/>
          </w:rPr>
          <w:t>DISU.RNWUUiISzcz@orange.com</w:t>
        </w:r>
      </w:hyperlink>
      <w:r w:rsidR="00805630">
        <w:rPr>
          <w:rStyle w:val="Hipercze"/>
        </w:rPr>
        <w:t xml:space="preserve"> </w:t>
      </w:r>
      <w:r w:rsidRPr="00805630">
        <w:t>z wnioskiem o uzyskanie zgody oraz</w:t>
      </w:r>
      <w:r w:rsidR="00936450" w:rsidRPr="00805630">
        <w:t xml:space="preserve"> </w:t>
      </w:r>
      <w:r w:rsidRPr="00805630">
        <w:t xml:space="preserve">zapewnienie nadzoru ze strony  Orange Polska nad pracami planowanymi; przesłanie zwrotnie wypełnionego wniosku na powyżej podany adres </w:t>
      </w:r>
      <w:r w:rsidR="00936450" w:rsidRPr="00805630">
        <w:t>e-mail</w:t>
      </w:r>
      <w:r w:rsidRPr="00805630">
        <w:t>.</w:t>
      </w:r>
    </w:p>
    <w:p w:rsidR="00CF7457" w:rsidRDefault="00CC5B8B" w:rsidP="00CF7457">
      <w:pPr>
        <w:pStyle w:val="Akapitzlist"/>
        <w:numPr>
          <w:ilvl w:val="0"/>
          <w:numId w:val="40"/>
        </w:numPr>
        <w:tabs>
          <w:tab w:val="left" w:pos="426"/>
        </w:tabs>
        <w:ind w:left="709"/>
        <w:jc w:val="both"/>
      </w:pPr>
      <w:r w:rsidRPr="00805630">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805630">
        <w:t>Pzp</w:t>
      </w:r>
      <w:proofErr w:type="spellEnd"/>
      <w:r w:rsidRPr="00805630">
        <w:t xml:space="preserve">, Zamawiający dopuszcza oferowanie materiałów równoważnych, pod warunkiem, że zagwarantują one prawidłową realizację robót oraz zapewniają uzyskanie parametrów technicznych nie gorszych od założonych w wyżej wymienionych dokumentach. </w:t>
      </w:r>
      <w:r w:rsidR="00936450" w:rsidRPr="00805630">
        <w:br/>
      </w:r>
      <w:r w:rsidRPr="00805630">
        <w:t xml:space="preserve">W takiej sytuacji Zamawiający wymaga założenia stosownych dokumentów uwiarygodniających te materiały i urządzenia. </w:t>
      </w:r>
    </w:p>
    <w:p w:rsidR="00CF7457" w:rsidRDefault="00CF7457" w:rsidP="00CF7457">
      <w:pPr>
        <w:tabs>
          <w:tab w:val="left" w:pos="426"/>
        </w:tabs>
        <w:jc w:val="both"/>
        <w:rPr>
          <w:color w:val="000000"/>
        </w:rPr>
      </w:pPr>
    </w:p>
    <w:p w:rsidR="00E34E70" w:rsidRPr="00CF7457" w:rsidRDefault="00E34E70" w:rsidP="00CF7457">
      <w:pPr>
        <w:pStyle w:val="Akapitzlist"/>
        <w:numPr>
          <w:ilvl w:val="3"/>
          <w:numId w:val="18"/>
        </w:numPr>
        <w:tabs>
          <w:tab w:val="left" w:pos="426"/>
        </w:tabs>
        <w:ind w:left="284"/>
        <w:jc w:val="both"/>
      </w:pPr>
      <w:r w:rsidRPr="00CF7457">
        <w:rPr>
          <w:color w:val="000000"/>
        </w:rPr>
        <w:t xml:space="preserve">Przedmiot zamówienia został szczegółowo opisany w Rozdziale </w:t>
      </w:r>
      <w:r w:rsidR="00E8631A" w:rsidRPr="00CF7457">
        <w:rPr>
          <w:color w:val="000000"/>
        </w:rPr>
        <w:t>„C”</w:t>
      </w:r>
      <w:r w:rsidR="00F3218C" w:rsidRPr="00CF7457">
        <w:rPr>
          <w:color w:val="000000"/>
        </w:rPr>
        <w:t xml:space="preserve">, „E” </w:t>
      </w:r>
      <w:r w:rsidRPr="00CF7457">
        <w:rPr>
          <w:color w:val="000000"/>
        </w:rPr>
        <w:t>SIWZ.</w:t>
      </w:r>
    </w:p>
    <w:p w:rsidR="00EA6531" w:rsidRPr="00805630" w:rsidRDefault="00EA6531" w:rsidP="00EA6531">
      <w:pPr>
        <w:tabs>
          <w:tab w:val="left" w:pos="426"/>
        </w:tabs>
        <w:ind w:left="720"/>
        <w:rPr>
          <w:b/>
          <w:bCs/>
          <w:color w:val="FF0000"/>
        </w:rPr>
      </w:pPr>
      <w:r w:rsidRPr="00805630">
        <w:rPr>
          <w:b/>
          <w:bCs/>
          <w:color w:val="FF0000"/>
        </w:rPr>
        <w:t>45.23.31.40-2 – Roboty drogowe,</w:t>
      </w:r>
    </w:p>
    <w:p w:rsidR="00EA6531" w:rsidRPr="00805630" w:rsidRDefault="00EA6531" w:rsidP="00EA6531">
      <w:pPr>
        <w:tabs>
          <w:tab w:val="left" w:pos="426"/>
        </w:tabs>
        <w:ind w:left="360"/>
        <w:rPr>
          <w:b/>
          <w:color w:val="FF0000"/>
        </w:rPr>
      </w:pPr>
      <w:r w:rsidRPr="00805630">
        <w:rPr>
          <w:b/>
          <w:bCs/>
          <w:color w:val="FF0000"/>
        </w:rPr>
        <w:t xml:space="preserve">      45.23.31.42-6 – Roboty w zakresie naprawy dróg </w:t>
      </w:r>
    </w:p>
    <w:p w:rsidR="00E34E70" w:rsidRPr="00805630" w:rsidRDefault="00E34E70" w:rsidP="00CF7457">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wariantowej.</w:t>
      </w:r>
    </w:p>
    <w:p w:rsidR="00E34E70" w:rsidRPr="00805630" w:rsidRDefault="00E34E70" w:rsidP="00CF7457">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częściowej.</w:t>
      </w:r>
    </w:p>
    <w:p w:rsidR="00D173DD"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Cs/>
        </w:rPr>
      </w:pPr>
      <w:r w:rsidRPr="00805630">
        <w:rPr>
          <w:bCs/>
        </w:rPr>
        <w:t xml:space="preserve">Zamawiający </w:t>
      </w:r>
      <w:r w:rsidR="00CC5B8B" w:rsidRPr="00805630">
        <w:rPr>
          <w:b/>
          <w:bCs/>
          <w:color w:val="FF0000"/>
        </w:rPr>
        <w:t xml:space="preserve">nie </w:t>
      </w:r>
      <w:r w:rsidRPr="00805630">
        <w:rPr>
          <w:b/>
          <w:bCs/>
          <w:color w:val="FF0000"/>
        </w:rPr>
        <w:t>przewiduje</w:t>
      </w:r>
      <w:r w:rsidRPr="00805630">
        <w:rPr>
          <w:bCs/>
          <w:color w:val="FF0000"/>
        </w:rPr>
        <w:t xml:space="preserve"> </w:t>
      </w:r>
      <w:r w:rsidRPr="00805630">
        <w:rPr>
          <w:bCs/>
        </w:rPr>
        <w:t>możliwoś</w:t>
      </w:r>
      <w:r w:rsidR="00D173DD" w:rsidRPr="00805630">
        <w:rPr>
          <w:bCs/>
        </w:rPr>
        <w:t>ci</w:t>
      </w:r>
      <w:r w:rsidRPr="00805630">
        <w:rPr>
          <w:bCs/>
        </w:rPr>
        <w:t xml:space="preserve"> udzielenia zamówień, o których mowa w art. 67 ust. 1 pkt 6 ustawy – Prawo zamówień publicznych.</w:t>
      </w:r>
    </w:p>
    <w:p w:rsidR="00B90881"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
          <w:bCs/>
        </w:rPr>
      </w:pPr>
      <w:r w:rsidRPr="00805630">
        <w:rPr>
          <w:b/>
          <w:bCs/>
        </w:rPr>
        <w:t xml:space="preserve">Zamawiający wymaga zatrudnienia </w:t>
      </w:r>
      <w:r w:rsidR="00416BBC" w:rsidRPr="00805630">
        <w:rPr>
          <w:b/>
          <w:bCs/>
        </w:rPr>
        <w:t>przez Wykonawcę lub podwykonawców</w:t>
      </w:r>
      <w:r w:rsidRPr="00805630">
        <w:rPr>
          <w:b/>
          <w:bCs/>
        </w:rPr>
        <w:t xml:space="preserve"> na podstawie umowy o pracę osób wykonujących czynności w zakresie realizacji zamówienia, </w:t>
      </w:r>
      <w:r w:rsidR="00D67C4A" w:rsidRPr="00805630">
        <w:rPr>
          <w:b/>
          <w:bCs/>
        </w:rPr>
        <w:t>dotyczących prac objętych przedmiotem umowy, niżej wymienionych:</w:t>
      </w:r>
    </w:p>
    <w:p w:rsidR="00CC5B8B" w:rsidRPr="00805630" w:rsidRDefault="00B917DB" w:rsidP="00D13DEA">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00EA6531" w:rsidRPr="00805630">
        <w:rPr>
          <w:b/>
          <w:iCs/>
          <w:color w:val="FF0000"/>
          <w:lang w:eastAsia="zh-CN"/>
        </w:rPr>
        <w:t>- branża drogowa</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8B2CB7" w:rsidRPr="006F1990" w:rsidRDefault="00E702B9" w:rsidP="00E702B9">
      <w:pPr>
        <w:tabs>
          <w:tab w:val="left" w:pos="426"/>
        </w:tabs>
        <w:rPr>
          <w:b/>
          <w:i/>
          <w:color w:val="FF0000"/>
          <w:sz w:val="22"/>
          <w:szCs w:val="22"/>
          <w:lang w:eastAsia="zh-CN"/>
        </w:rPr>
      </w:pPr>
      <w:r w:rsidRPr="00DB3829">
        <w:rPr>
          <w:b/>
          <w:bCs/>
          <w:color w:val="FF0000"/>
        </w:rPr>
        <w:t xml:space="preserve">       </w:t>
      </w:r>
      <w:r w:rsidR="001D01C3" w:rsidRPr="006F1990">
        <w:rPr>
          <w:b/>
          <w:bCs/>
        </w:rPr>
        <w:t xml:space="preserve">Termin </w:t>
      </w:r>
      <w:r w:rsidR="00816EC1" w:rsidRPr="006F1990">
        <w:rPr>
          <w:b/>
          <w:bCs/>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r w:rsidR="00936450" w:rsidRPr="006F1990">
        <w:rPr>
          <w:b/>
          <w:i/>
          <w:color w:val="FF0000"/>
          <w:sz w:val="22"/>
          <w:szCs w:val="22"/>
          <w:lang w:eastAsia="zh-CN"/>
        </w:rPr>
        <w:t>3</w:t>
      </w:r>
      <w:r w:rsidR="00EA6531" w:rsidRPr="006F1990">
        <w:rPr>
          <w:b/>
          <w:i/>
          <w:color w:val="FF0000"/>
          <w:sz w:val="22"/>
          <w:szCs w:val="22"/>
          <w:lang w:eastAsia="zh-CN"/>
        </w:rPr>
        <w:t xml:space="preserve"> miesiące od daty podpisania umowy.</w:t>
      </w:r>
    </w:p>
    <w:p w:rsidR="00E702B9" w:rsidRPr="00DC4AC1" w:rsidRDefault="00E702B9" w:rsidP="00E702B9">
      <w:pPr>
        <w:tabs>
          <w:tab w:val="left" w:pos="426"/>
        </w:tabs>
        <w:rPr>
          <w:i/>
          <w:color w:val="5B9BD5"/>
          <w:sz w:val="22"/>
          <w:szCs w:val="22"/>
          <w:highlight w:val="yellow"/>
          <w:lang w:eastAsia="zh-CN"/>
        </w:rPr>
      </w:pPr>
    </w:p>
    <w:p w:rsidR="00816EC1" w:rsidRDefault="00E702B9" w:rsidP="00E702B9">
      <w:pPr>
        <w:autoSpaceDE w:val="0"/>
        <w:autoSpaceDN w:val="0"/>
        <w:adjustRightInd w:val="0"/>
        <w:spacing w:after="120"/>
        <w:ind w:left="425"/>
        <w:jc w:val="both"/>
        <w:rPr>
          <w:b/>
          <w:bCs/>
          <w:i/>
          <w:color w:val="FF0000"/>
        </w:rPr>
      </w:pPr>
      <w:r w:rsidRPr="00DB3829">
        <w:rPr>
          <w:b/>
          <w:bCs/>
        </w:rPr>
        <w:t xml:space="preserve"> 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6F1990">
        <w:rPr>
          <w:b/>
          <w:bCs/>
          <w:i/>
          <w:color w:val="FF0000"/>
        </w:rPr>
        <w:t>36 miesięcy</w:t>
      </w:r>
      <w:r w:rsidR="006F1990">
        <w:rPr>
          <w:b/>
          <w:bCs/>
          <w:i/>
          <w:color w:val="FF0000"/>
        </w:rPr>
        <w:t>.</w:t>
      </w:r>
    </w:p>
    <w:p w:rsidR="006F1990" w:rsidRPr="006F1990" w:rsidRDefault="006F1990" w:rsidP="00E702B9">
      <w:pPr>
        <w:autoSpaceDE w:val="0"/>
        <w:autoSpaceDN w:val="0"/>
        <w:adjustRightInd w:val="0"/>
        <w:spacing w:after="120"/>
        <w:ind w:left="425"/>
        <w:jc w:val="both"/>
        <w:rPr>
          <w:b/>
          <w:bCs/>
          <w:i/>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9E1C17">
      <w:pPr>
        <w:pStyle w:val="Nagwek"/>
        <w:numPr>
          <w:ilvl w:val="2"/>
          <w:numId w:val="3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9E1C17">
      <w:pPr>
        <w:pStyle w:val="Nagwek"/>
        <w:numPr>
          <w:ilvl w:val="2"/>
          <w:numId w:val="3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1C1036" w:rsidRPr="00B22BDA" w:rsidRDefault="007B46A9" w:rsidP="009E1C17">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127D8C" w:rsidRPr="00127D8C" w:rsidRDefault="00587E5E" w:rsidP="009E1C17">
      <w:pPr>
        <w:pStyle w:val="Nagwek"/>
        <w:numPr>
          <w:ilvl w:val="3"/>
          <w:numId w:val="3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i prawidłowo ukończył nie wcześniej niż w okresie ostatnich 5 lat przed upływem terminu składania ofert, a jeżeli okres prowadzenia działalności jest krótszy – w tym okresie</w:t>
      </w:r>
      <w:r w:rsidR="00127D8C" w:rsidRPr="00127D8C">
        <w:rPr>
          <w:b/>
        </w:rPr>
        <w:t>:</w:t>
      </w:r>
      <w:r w:rsidR="00CB290B" w:rsidRPr="00127D8C">
        <w:t xml:space="preserve"> </w:t>
      </w:r>
    </w:p>
    <w:p w:rsidR="009E1C17" w:rsidRPr="006F1990" w:rsidRDefault="006F1990" w:rsidP="006F1990">
      <w:pPr>
        <w:autoSpaceDE w:val="0"/>
        <w:autoSpaceDN w:val="0"/>
        <w:adjustRightInd w:val="0"/>
        <w:ind w:left="627" w:firstLine="57"/>
        <w:jc w:val="both"/>
        <w:rPr>
          <w:b/>
          <w:bCs/>
          <w:color w:val="FF0000"/>
          <w:lang w:eastAsia="zh-CN"/>
        </w:rPr>
      </w:pPr>
      <w:r w:rsidRPr="006F1990">
        <w:rPr>
          <w:b/>
          <w:bCs/>
          <w:color w:val="FF0000"/>
          <w:lang w:eastAsia="zh-CN"/>
        </w:rPr>
        <w:t xml:space="preserve">- </w:t>
      </w:r>
      <w:r w:rsidR="009E1C17" w:rsidRPr="006F1990">
        <w:rPr>
          <w:b/>
          <w:bCs/>
          <w:color w:val="FF0000"/>
          <w:lang w:eastAsia="zh-CN"/>
        </w:rPr>
        <w:t xml:space="preserve">2 zadania związane z remontem lub przebudową dróg, których zakres obejmował przebudowę/ budowę/ nawierzchni z płytek betonowych lub kostki betonowej </w:t>
      </w:r>
      <w:r w:rsidR="002227C6" w:rsidRPr="006F1990">
        <w:rPr>
          <w:b/>
          <w:bCs/>
          <w:color w:val="FF0000"/>
          <w:lang w:eastAsia="zh-CN"/>
        </w:rPr>
        <w:br/>
      </w:r>
      <w:r w:rsidR="009E1C17" w:rsidRPr="006F1990">
        <w:rPr>
          <w:b/>
          <w:bCs/>
          <w:color w:val="FF0000"/>
          <w:lang w:eastAsia="zh-CN"/>
        </w:rPr>
        <w:t>o</w:t>
      </w:r>
      <w:r w:rsidR="002227C6" w:rsidRPr="006F1990">
        <w:rPr>
          <w:b/>
          <w:bCs/>
          <w:color w:val="FF0000"/>
          <w:lang w:eastAsia="zh-CN"/>
        </w:rPr>
        <w:t xml:space="preserve"> powierzchni min 8</w:t>
      </w:r>
      <w:r w:rsidR="008019B2" w:rsidRPr="006F1990">
        <w:rPr>
          <w:b/>
          <w:bCs/>
          <w:color w:val="FF0000"/>
          <w:lang w:eastAsia="zh-CN"/>
        </w:rPr>
        <w:t>00,00m2 każde zadanie</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805630" w:rsidRDefault="004C47BA" w:rsidP="009E1C17">
      <w:pPr>
        <w:pStyle w:val="Nagwek"/>
        <w:numPr>
          <w:ilvl w:val="3"/>
          <w:numId w:val="36"/>
        </w:numPr>
        <w:tabs>
          <w:tab w:val="clear" w:pos="4536"/>
          <w:tab w:val="left" w:pos="426"/>
        </w:tabs>
        <w:spacing w:line="276" w:lineRule="auto"/>
        <w:jc w:val="both"/>
        <w:rPr>
          <w:b/>
          <w:color w:val="FF0000"/>
        </w:rPr>
      </w:pPr>
      <w:r w:rsidRPr="004C47BA">
        <w:rPr>
          <w:b/>
        </w:rPr>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F1990" w:rsidRDefault="006060B4" w:rsidP="006060B4">
      <w:pPr>
        <w:autoSpaceDE w:val="0"/>
        <w:autoSpaceDN w:val="0"/>
        <w:adjustRightInd w:val="0"/>
        <w:jc w:val="both"/>
        <w:rPr>
          <w:b/>
          <w:color w:val="FF0000"/>
        </w:rPr>
      </w:pPr>
      <w:r>
        <w:rPr>
          <w:b/>
          <w:color w:val="FF0000"/>
        </w:rPr>
        <w:t xml:space="preserve">            </w:t>
      </w:r>
      <w:r w:rsidR="00127D8C" w:rsidRPr="006F1990">
        <w:rPr>
          <w:b/>
          <w:color w:val="FF0000"/>
        </w:rPr>
        <w:t>Wykonawca winien wykazać minimum:</w:t>
      </w:r>
    </w:p>
    <w:p w:rsidR="0016629B" w:rsidRDefault="006F1990" w:rsidP="006F1990">
      <w:pPr>
        <w:pStyle w:val="Akapitzlist"/>
        <w:tabs>
          <w:tab w:val="left" w:pos="284"/>
          <w:tab w:val="left" w:pos="426"/>
        </w:tabs>
        <w:ind w:left="735"/>
        <w:jc w:val="both"/>
        <w:rPr>
          <w:b/>
          <w:bCs/>
          <w:color w:val="FF0000"/>
        </w:rPr>
      </w:pPr>
      <w:r w:rsidRPr="006F1990">
        <w:rPr>
          <w:b/>
          <w:bCs/>
          <w:color w:val="FF0000"/>
        </w:rPr>
        <w:t xml:space="preserve">- </w:t>
      </w:r>
      <w:r w:rsidR="0016629B" w:rsidRPr="006F1990">
        <w:rPr>
          <w:b/>
          <w:bCs/>
          <w:color w:val="FF0000"/>
        </w:rPr>
        <w:t>jedną osobę posiadającą uprawnienia budowlane do wykonywania samodzielnych funkcji technicznych w budownictwie, która będzie pełnić przy realizacji tego zamówienia funkcję kierownika budowy (uprawnienia do kierowania robotami drogowymi).</w:t>
      </w:r>
    </w:p>
    <w:p w:rsidR="00D97F48" w:rsidRPr="006F1990" w:rsidRDefault="00D97F48" w:rsidP="006F1990">
      <w:pPr>
        <w:pStyle w:val="Akapitzlist"/>
        <w:tabs>
          <w:tab w:val="left" w:pos="284"/>
          <w:tab w:val="left" w:pos="426"/>
        </w:tabs>
        <w:ind w:left="735"/>
        <w:jc w:val="both"/>
        <w:rPr>
          <w:b/>
          <w:bCs/>
          <w:i/>
          <w:color w:val="FF0000"/>
        </w:rPr>
      </w:pPr>
    </w:p>
    <w:p w:rsidR="00D97F48" w:rsidRPr="007C6A38" w:rsidRDefault="00D97F48" w:rsidP="00D97F48">
      <w:pPr>
        <w:autoSpaceDE w:val="0"/>
        <w:autoSpaceDN w:val="0"/>
        <w:adjustRightInd w:val="0"/>
        <w:ind w:left="284" w:firstLine="57"/>
        <w:jc w:val="both"/>
        <w:rPr>
          <w:color w:val="00B050"/>
        </w:rPr>
      </w:pPr>
      <w:r w:rsidRPr="007C6A38">
        <w:rPr>
          <w:color w:val="00B050"/>
        </w:rPr>
        <w:t xml:space="preserve">W przypadku wykonawców wspólnie ubiegających się o udzielenie zamówienia, </w:t>
      </w:r>
      <w:r>
        <w:rPr>
          <w:color w:val="00B050"/>
        </w:rPr>
        <w:br/>
      </w:r>
      <w:r w:rsidRPr="007C6A38">
        <w:rPr>
          <w:color w:val="00B050"/>
        </w:rPr>
        <w:t xml:space="preserve">a także w przypadku, gdy wykonawca polega na zdolnościach technicznych lub zawodowych innych podmiotów, wykonaniem robót budowlanych określonych powyżej winien wykazać się jeden z wykonawców wspólnie ubiegających się </w:t>
      </w:r>
      <w:r w:rsidRPr="007C6A38">
        <w:rPr>
          <w:color w:val="00B050"/>
        </w:rPr>
        <w:br/>
        <w:t xml:space="preserve">o udzielenie zamówienia lub podmiot na którego zdolnościach technicznych lub zawodowych Wykonawca </w:t>
      </w:r>
      <w:r>
        <w:rPr>
          <w:color w:val="00B050"/>
        </w:rPr>
        <w:t xml:space="preserve">będzie </w:t>
      </w:r>
      <w:r w:rsidRPr="007C6A38">
        <w:rPr>
          <w:color w:val="00B050"/>
        </w:rPr>
        <w:t>polega</w:t>
      </w:r>
      <w:r>
        <w:rPr>
          <w:color w:val="00B050"/>
        </w:rPr>
        <w:t>ł</w:t>
      </w:r>
      <w:r w:rsidRPr="007C6A38">
        <w:rPr>
          <w:color w:val="00B050"/>
        </w:rPr>
        <w:t>.</w:t>
      </w:r>
    </w:p>
    <w:p w:rsidR="00127D8C" w:rsidRPr="006F1990" w:rsidRDefault="00127D8C" w:rsidP="00127D8C">
      <w:pPr>
        <w:pStyle w:val="Akapitzlist"/>
        <w:autoSpaceDE w:val="0"/>
        <w:autoSpaceDN w:val="0"/>
        <w:adjustRightInd w:val="0"/>
        <w:ind w:left="1854"/>
        <w:jc w:val="both"/>
        <w:rPr>
          <w:b/>
          <w:color w:val="FF000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Zamawiający przewiduje zastosowanie procedury określonej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2227C6" w:rsidRPr="004824A0" w:rsidRDefault="002227C6"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F1990">
        <w:rPr>
          <w:b/>
          <w:bCs/>
          <w:color w:val="FF0000"/>
        </w:rPr>
        <w:t>3 dni</w:t>
      </w:r>
      <w:r w:rsidRPr="006F1990">
        <w:rPr>
          <w:bCs/>
          <w:color w:val="FF0000"/>
        </w:rPr>
        <w:t xml:space="preserve"> od dnia zamieszczenia na stronie internetowej informacji, o której mowa w art. 86 ust. 3 ustawy, </w:t>
      </w:r>
      <w:r>
        <w:rPr>
          <w:bCs/>
        </w:rPr>
        <w:t>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0D32A7">
        <w:rPr>
          <w:b/>
          <w:bCs/>
          <w:color w:val="FF0000"/>
        </w:rPr>
        <w:t>6</w:t>
      </w:r>
      <w:r w:rsidR="00841AA3" w:rsidRPr="0085702B">
        <w:rPr>
          <w:bCs/>
          <w:color w:val="FF0000"/>
        </w:rPr>
        <w:t>)</w:t>
      </w:r>
      <w:r w:rsidRPr="0085702B">
        <w:rPr>
          <w:bCs/>
          <w:color w:val="FF0000"/>
        </w:rPr>
        <w:t>.</w:t>
      </w:r>
    </w:p>
    <w:p w:rsidR="002227C6" w:rsidRPr="008D13D4" w:rsidRDefault="002227C6" w:rsidP="002227C6">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227C6" w:rsidRPr="0085702B" w:rsidRDefault="002227C6" w:rsidP="002227C6">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7</w:t>
      </w:r>
      <w:r w:rsidRPr="008D13D4">
        <w:rPr>
          <w:b/>
          <w:bCs/>
          <w:i/>
          <w:color w:val="00B050"/>
        </w:rPr>
        <w:t xml:space="preserve">. </w:t>
      </w:r>
      <w:r>
        <w:rPr>
          <w:b/>
          <w:bCs/>
          <w:i/>
          <w:color w:val="00B050"/>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6F1990">
        <w:rPr>
          <w:b/>
          <w:color w:val="FF0000"/>
        </w:rPr>
        <w:t>5</w:t>
      </w:r>
      <w:r w:rsidR="00224978" w:rsidRPr="006F1990">
        <w:rPr>
          <w:b/>
          <w:color w:val="FF0000"/>
        </w:rPr>
        <w:t xml:space="preserve"> dni</w:t>
      </w:r>
      <w:r w:rsidRPr="006F1990">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2227C6">
        <w:rPr>
          <w:b/>
          <w:color w:val="00B050"/>
        </w:rPr>
        <w:t xml:space="preserve">Odpisu z właściwego rejestru lub z centralnej ewidencji i informacji o działalności </w:t>
      </w:r>
      <w:r w:rsidRPr="000C0AA2">
        <w:rPr>
          <w:b/>
          <w:color w:val="000000"/>
        </w:rPr>
        <w:t>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2227C6">
        <w:rPr>
          <w:b/>
          <w:color w:val="00B050"/>
        </w:rPr>
        <w:t>Wykaz robót budowlanych</w:t>
      </w:r>
      <w:r w:rsidRPr="002227C6">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2227C6">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841AA3" w:rsidRPr="000C0AA2" w:rsidRDefault="004A5C3F" w:rsidP="009E1C17">
      <w:pPr>
        <w:numPr>
          <w:ilvl w:val="1"/>
          <w:numId w:val="11"/>
        </w:numPr>
        <w:autoSpaceDE w:val="0"/>
        <w:autoSpaceDN w:val="0"/>
        <w:adjustRightInd w:val="0"/>
        <w:spacing w:line="276" w:lineRule="auto"/>
        <w:ind w:left="568" w:hanging="284"/>
        <w:jc w:val="both"/>
        <w:rPr>
          <w:color w:val="000000"/>
        </w:rPr>
      </w:pPr>
      <w:r w:rsidRPr="002227C6">
        <w:rPr>
          <w:b/>
          <w:color w:val="00B050"/>
        </w:rPr>
        <w:t>Zobowią</w:t>
      </w:r>
      <w:r w:rsidR="00977A6D" w:rsidRPr="002227C6">
        <w:rPr>
          <w:b/>
          <w:color w:val="00B050"/>
        </w:rPr>
        <w:t>zanie innych podmiotów</w:t>
      </w:r>
      <w:r w:rsidR="00977A6D" w:rsidRPr="002227C6">
        <w:rPr>
          <w:color w:val="00B050"/>
        </w:rPr>
        <w:t xml:space="preserve"> </w:t>
      </w:r>
      <w:r w:rsidR="00977A6D" w:rsidRPr="000C0AA2">
        <w:rPr>
          <w:color w:val="000000"/>
        </w:rPr>
        <w:t>do oddania mu do dyspozycji niezbędnych zasobów na potrzeby realizacji zamówienia – w przypadku gdy Wykonawca w celu potwierdzenia spełnienia warunków udziału w postępowaniu w st</w:t>
      </w:r>
      <w:r w:rsidRPr="000C0AA2">
        <w:rPr>
          <w:color w:val="000000"/>
        </w:rPr>
        <w:t>o</w:t>
      </w:r>
      <w:r w:rsidR="00977A6D" w:rsidRPr="000C0AA2">
        <w:rPr>
          <w:color w:val="000000"/>
        </w:rPr>
        <w:t xml:space="preserve">sownych sytuacjach oraz </w:t>
      </w:r>
      <w:r w:rsidR="00841AA3" w:rsidRPr="000C0AA2">
        <w:rPr>
          <w:color w:val="000000"/>
        </w:rPr>
        <w:br/>
      </w:r>
      <w:r w:rsidR="00977A6D" w:rsidRPr="000C0AA2">
        <w:rPr>
          <w:color w:val="000000"/>
        </w:rPr>
        <w:t>w odniesieniu do konkretnego zamówienia, lub jego części, polega na zdolnościach technicznych lub zawodowych</w:t>
      </w:r>
      <w:r w:rsidR="0085702B">
        <w:rPr>
          <w:color w:val="000000"/>
        </w:rPr>
        <w:t xml:space="preserve"> </w:t>
      </w:r>
      <w:r w:rsidR="00977A6D" w:rsidRPr="000C0AA2">
        <w:rPr>
          <w:color w:val="000000"/>
        </w:rPr>
        <w:t>innych podmiotów, niezależnie od charakteru prawnego łączących go z nim stosunków prawnych.</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9E1C1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1F67A0" w:rsidRPr="004824A0" w:rsidRDefault="001F67A0" w:rsidP="009E1C17">
      <w:pPr>
        <w:numPr>
          <w:ilvl w:val="1"/>
          <w:numId w:val="13"/>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6F4A6D" w:rsidRPr="008F0B02" w:rsidRDefault="006F4A6D" w:rsidP="009E1C17">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16629B"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2227C6" w:rsidRPr="00B8040C" w:rsidRDefault="002227C6" w:rsidP="002227C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Wykonawcami</w:t>
      </w:r>
      <w:r>
        <w:rPr>
          <w:b/>
        </w:rPr>
        <w:t xml:space="preserve"> są</w:t>
      </w:r>
      <w:r w:rsidRPr="00B8040C">
        <w:rPr>
          <w:b/>
        </w:rPr>
        <w:t xml:space="preserve">: </w:t>
      </w:r>
    </w:p>
    <w:p w:rsidR="002227C6" w:rsidRPr="00A2388B" w:rsidRDefault="002227C6" w:rsidP="002227C6">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94 311-80-67.</w:t>
      </w:r>
    </w:p>
    <w:p w:rsidR="002227C6" w:rsidRDefault="002227C6" w:rsidP="002227C6">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Anna Rychter Kierownik Działu Eksploatacji Dróg</w:t>
      </w:r>
      <w:r w:rsidRPr="003968C3">
        <w:rPr>
          <w:b/>
          <w:color w:val="000000"/>
        </w:rPr>
        <w:t xml:space="preserve"> – </w:t>
      </w:r>
      <w:r>
        <w:rPr>
          <w:b/>
          <w:color w:val="000000"/>
        </w:rPr>
        <w:br/>
        <w:t xml:space="preserve">        </w:t>
      </w:r>
      <w:r w:rsidRPr="003968C3">
        <w:rPr>
          <w:b/>
          <w:color w:val="000000"/>
        </w:rPr>
        <w:t xml:space="preserve">tel. 94 311 80 </w:t>
      </w:r>
      <w:r>
        <w:rPr>
          <w:b/>
          <w:color w:val="000000"/>
        </w:rPr>
        <w:t>64.</w:t>
      </w:r>
    </w:p>
    <w:p w:rsidR="002227C6" w:rsidRPr="003968C3" w:rsidRDefault="002227C6" w:rsidP="002227C6">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251C7F">
        <w:rPr>
          <w:b/>
          <w:color w:val="FF0000"/>
        </w:rPr>
        <w:t>do dnia</w:t>
      </w:r>
      <w:r w:rsidR="00B84C9D" w:rsidRPr="00774B4A">
        <w:rPr>
          <w:b/>
          <w:color w:val="FF0000"/>
        </w:rPr>
        <w:t xml:space="preserve"> </w:t>
      </w:r>
      <w:r w:rsidR="002227C6">
        <w:rPr>
          <w:b/>
          <w:color w:val="FF0000"/>
        </w:rPr>
        <w:t xml:space="preserve"> </w:t>
      </w:r>
      <w:r w:rsidR="0047658F">
        <w:rPr>
          <w:b/>
          <w:color w:val="FF0000"/>
        </w:rPr>
        <w:t>29.05</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523933"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2227C6">
        <w:rPr>
          <w:b/>
          <w:iCs/>
          <w:color w:val="FF0000"/>
          <w:lang w:eastAsia="zh-CN"/>
        </w:rPr>
        <w:t>7</w:t>
      </w:r>
      <w:r w:rsidR="002A0FF6" w:rsidRPr="002A0FF6">
        <w:rPr>
          <w:b/>
          <w:iCs/>
          <w:color w:val="FF0000"/>
          <w:lang w:eastAsia="zh-CN"/>
        </w:rPr>
        <w:t xml:space="preserve">.000,00 </w:t>
      </w:r>
      <w:r w:rsidR="008A6189" w:rsidRPr="00D2030B">
        <w:rPr>
          <w:b/>
          <w:color w:val="FF0000"/>
        </w:rPr>
        <w:t>zł</w:t>
      </w:r>
      <w:r w:rsidR="008A6189" w:rsidRPr="00D2030B">
        <w:rPr>
          <w:color w:val="FF0000"/>
        </w:rPr>
        <w:t xml:space="preserve"> </w:t>
      </w:r>
      <w:r w:rsidR="008A6189" w:rsidRPr="00523933">
        <w:rPr>
          <w:color w:val="FF0000"/>
        </w:rPr>
        <w:t xml:space="preserve">(słownie: </w:t>
      </w:r>
      <w:r w:rsidR="002227C6">
        <w:rPr>
          <w:color w:val="FF0000"/>
        </w:rPr>
        <w:t>siedem</w:t>
      </w:r>
      <w:r w:rsidR="002A0FF6">
        <w:rPr>
          <w:color w:val="FF0000"/>
        </w:rPr>
        <w:t xml:space="preserve"> tysi</w:t>
      </w:r>
      <w:r w:rsidR="006F1990">
        <w:rPr>
          <w:color w:val="FF0000"/>
        </w:rPr>
        <w:t>ę</w:t>
      </w:r>
      <w:r w:rsidR="002227C6">
        <w:rPr>
          <w:color w:val="FF0000"/>
        </w:rPr>
        <w:t>cy</w:t>
      </w:r>
      <w:r w:rsidR="00BB6059" w:rsidRPr="00523933">
        <w:rPr>
          <w:color w:val="FF0000"/>
        </w:rPr>
        <w:t xml:space="preserve"> </w:t>
      </w:r>
      <w:r w:rsidR="008A6189" w:rsidRPr="00523933">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6F1990">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Pr="00567BAD"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523933" w:rsidRPr="00567BAD">
        <w:rPr>
          <w:color w:val="FF0000"/>
        </w:rPr>
        <w:t>.</w:t>
      </w:r>
      <w:r w:rsidR="000F1FC3" w:rsidRPr="00567BAD">
        <w:rPr>
          <w:color w:val="FF0000"/>
        </w:rPr>
        <w:t xml:space="preserve">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A0FF6" w:rsidRPr="00C87B8A" w:rsidRDefault="00D4692E" w:rsidP="00C87B8A">
      <w:pPr>
        <w:numPr>
          <w:ilvl w:val="0"/>
          <w:numId w:val="34"/>
        </w:numPr>
        <w:tabs>
          <w:tab w:val="clear" w:pos="0"/>
          <w:tab w:val="num" w:pos="720"/>
        </w:tabs>
        <w:rPr>
          <w:b/>
          <w:color w:val="FF0000"/>
        </w:rPr>
      </w:pPr>
      <w:r w:rsidRPr="006060B4">
        <w:rPr>
          <w:b/>
          <w:color w:val="FF0000"/>
        </w:rPr>
        <w:t xml:space="preserve">Oferta na zadanie: </w:t>
      </w:r>
      <w:r w:rsidRPr="006060B4">
        <w:rPr>
          <w:b/>
          <w:bCs/>
          <w:color w:val="FF0000"/>
        </w:rPr>
        <w:t xml:space="preserve"> </w:t>
      </w:r>
      <w:r w:rsidR="00C87B8A" w:rsidRPr="00C87B8A">
        <w:rPr>
          <w:b/>
          <w:color w:val="FF0000"/>
        </w:rPr>
        <w:t>„Przebudowa chodnika przy</w:t>
      </w:r>
      <w:r w:rsidR="006F1990">
        <w:rPr>
          <w:b/>
          <w:color w:val="FF0000"/>
        </w:rPr>
        <w:t xml:space="preserve"> A</w:t>
      </w:r>
      <w:r w:rsidR="00C87B8A" w:rsidRPr="00C87B8A">
        <w:rPr>
          <w:b/>
          <w:color w:val="FF0000"/>
        </w:rPr>
        <w:t>l. Monte Ca</w:t>
      </w:r>
      <w:r w:rsidR="002227C6">
        <w:rPr>
          <w:b/>
          <w:color w:val="FF0000"/>
        </w:rPr>
        <w:t>ssino w Koszalinie</w:t>
      </w:r>
      <w:r w:rsidR="00C87B8A" w:rsidRPr="00C87B8A">
        <w:rPr>
          <w:b/>
          <w:color w:val="FF0000"/>
        </w:rPr>
        <w:t>”</w:t>
      </w:r>
    </w:p>
    <w:p w:rsidR="00D4692E" w:rsidRPr="006060B4" w:rsidRDefault="00D4692E" w:rsidP="002A0FF6">
      <w:pPr>
        <w:ind w:left="570"/>
        <w:rPr>
          <w:b/>
          <w:color w:val="FF0000"/>
        </w:rPr>
      </w:pPr>
      <w:r w:rsidRPr="006060B4">
        <w:rPr>
          <w:b/>
          <w:color w:val="FF0000"/>
        </w:rPr>
        <w:t>Znak sprawy: TZP.221.</w:t>
      </w:r>
      <w:r w:rsidR="002227C6">
        <w:rPr>
          <w:b/>
          <w:color w:val="FF0000"/>
        </w:rPr>
        <w:t>13</w:t>
      </w:r>
      <w:r w:rsidRPr="006060B4">
        <w:rPr>
          <w:b/>
          <w:color w:val="FF0000"/>
        </w:rPr>
        <w:t>.201</w:t>
      </w:r>
      <w:r w:rsidR="00CA7A18" w:rsidRPr="006060B4">
        <w:rPr>
          <w:b/>
          <w:color w:val="FF0000"/>
        </w:rPr>
        <w:t>7</w:t>
      </w:r>
      <w:r w:rsidR="00982DF1">
        <w:rPr>
          <w:b/>
          <w:color w:val="FF0000"/>
        </w:rPr>
        <w:t>.DSz</w:t>
      </w:r>
    </w:p>
    <w:p w:rsidR="00D4692E" w:rsidRDefault="00D4692E" w:rsidP="00D4692E">
      <w:pPr>
        <w:autoSpaceDE w:val="0"/>
        <w:ind w:left="570"/>
        <w:jc w:val="both"/>
        <w:rPr>
          <w:bCs/>
        </w:rPr>
      </w:pPr>
      <w:r w:rsidRPr="00DB3829">
        <w:rPr>
          <w:b/>
          <w:color w:val="FF0000"/>
        </w:rPr>
        <w:t>Nie otwierać przed dniem</w:t>
      </w:r>
      <w:r w:rsidRPr="00DB3829">
        <w:rPr>
          <w:color w:val="FF0000"/>
        </w:rPr>
        <w:t xml:space="preserve"> </w:t>
      </w:r>
      <w:r w:rsidRPr="00DB3829">
        <w:rPr>
          <w:b/>
          <w:color w:val="FF0000"/>
        </w:rPr>
        <w:t xml:space="preserve"> </w:t>
      </w:r>
      <w:r w:rsidR="00C87B8A">
        <w:rPr>
          <w:b/>
          <w:color w:val="FF0000"/>
        </w:rPr>
        <w:t xml:space="preserve"> </w:t>
      </w:r>
      <w:r w:rsidR="0047658F">
        <w:rPr>
          <w:b/>
          <w:color w:val="FF0000"/>
        </w:rPr>
        <w:t>05.06</w:t>
      </w:r>
      <w:r w:rsidR="00523933" w:rsidRPr="00251C7F">
        <w:rPr>
          <w:b/>
          <w:color w:val="FF0000"/>
        </w:rPr>
        <w:t>.201</w:t>
      </w:r>
      <w:r w:rsidR="00CA7A18" w:rsidRPr="00251C7F">
        <w:rPr>
          <w:b/>
          <w:color w:val="FF0000"/>
        </w:rPr>
        <w:t>7</w:t>
      </w:r>
      <w:r w:rsidR="00523933" w:rsidRPr="00DB3829">
        <w:rPr>
          <w:b/>
          <w:color w:val="FF0000"/>
        </w:rPr>
        <w:t xml:space="preserve"> </w:t>
      </w:r>
      <w:r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C87B8A" w:rsidRPr="00C87B8A" w:rsidRDefault="00D4692E" w:rsidP="00C87B8A">
      <w:pPr>
        <w:numPr>
          <w:ilvl w:val="0"/>
          <w:numId w:val="34"/>
        </w:numPr>
        <w:tabs>
          <w:tab w:val="clear" w:pos="0"/>
          <w:tab w:val="num" w:pos="720"/>
        </w:tabs>
        <w:rPr>
          <w:b/>
          <w:color w:val="FF0000"/>
        </w:rPr>
      </w:pPr>
      <w:r w:rsidRPr="006060B4">
        <w:rPr>
          <w:b/>
          <w:color w:val="FF0000"/>
        </w:rPr>
        <w:t xml:space="preserve">Oferta na zadanie: </w:t>
      </w:r>
      <w:r w:rsidR="00C87B8A" w:rsidRPr="00C87B8A">
        <w:rPr>
          <w:b/>
          <w:color w:val="FF0000"/>
        </w:rPr>
        <w:t xml:space="preserve">„Przebudowa chodnika przy </w:t>
      </w:r>
      <w:r w:rsidR="006F1990">
        <w:rPr>
          <w:b/>
          <w:color w:val="FF0000"/>
        </w:rPr>
        <w:t>A</w:t>
      </w:r>
      <w:r w:rsidR="00C87B8A" w:rsidRPr="00C87B8A">
        <w:rPr>
          <w:b/>
          <w:color w:val="FF0000"/>
        </w:rPr>
        <w:t>l. Monte Cassin</w:t>
      </w:r>
      <w:r w:rsidR="00982DF1">
        <w:rPr>
          <w:b/>
          <w:color w:val="FF0000"/>
        </w:rPr>
        <w:t>o w Koszalinie</w:t>
      </w:r>
      <w:r w:rsidR="00C87B8A" w:rsidRPr="00C87B8A">
        <w:rPr>
          <w:b/>
          <w:color w:val="FF0000"/>
        </w:rPr>
        <w:t>”</w:t>
      </w:r>
    </w:p>
    <w:p w:rsidR="00C87B8A" w:rsidRPr="006060B4" w:rsidRDefault="00C87B8A" w:rsidP="00C87B8A">
      <w:pPr>
        <w:ind w:left="570"/>
        <w:rPr>
          <w:b/>
          <w:color w:val="FF0000"/>
        </w:rPr>
      </w:pPr>
      <w:r w:rsidRPr="006060B4">
        <w:rPr>
          <w:b/>
          <w:color w:val="FF0000"/>
        </w:rPr>
        <w:t>Znak sprawy: TZP.221.</w:t>
      </w:r>
      <w:r w:rsidR="00982DF1">
        <w:rPr>
          <w:b/>
          <w:color w:val="FF0000"/>
        </w:rPr>
        <w:t>13</w:t>
      </w:r>
      <w:r w:rsidRPr="006060B4">
        <w:rPr>
          <w:b/>
          <w:color w:val="FF0000"/>
        </w:rPr>
        <w:t>.2017</w:t>
      </w:r>
      <w:r w:rsidR="00982DF1">
        <w:rPr>
          <w:b/>
          <w:color w:val="FF0000"/>
        </w:rPr>
        <w:t>.DSz</w:t>
      </w:r>
    </w:p>
    <w:p w:rsidR="006060B4" w:rsidRPr="00CA7A18" w:rsidRDefault="006060B4" w:rsidP="00C87B8A">
      <w:pPr>
        <w:numPr>
          <w:ilvl w:val="0"/>
          <w:numId w:val="34"/>
        </w:numPr>
        <w:tabs>
          <w:tab w:val="clear" w:pos="0"/>
          <w:tab w:val="num" w:pos="720"/>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0D410E"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w:t>
      </w:r>
      <w:r w:rsidR="008A6189" w:rsidRPr="00251C7F">
        <w:rPr>
          <w:b/>
          <w:bCs/>
          <w:color w:val="FF0000"/>
        </w:rPr>
        <w:t xml:space="preserve">dnia </w:t>
      </w:r>
      <w:r w:rsidR="0047658F">
        <w:rPr>
          <w:b/>
          <w:bCs/>
          <w:color w:val="FF0000"/>
        </w:rPr>
        <w:t>05.06</w:t>
      </w:r>
      <w:r w:rsidR="003A1E9D" w:rsidRPr="00251C7F">
        <w:rPr>
          <w:b/>
          <w:bCs/>
          <w:color w:val="FF0000"/>
        </w:rPr>
        <w:t>.</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w:t>
      </w:r>
      <w:r w:rsidR="00404815" w:rsidRPr="00251C7F">
        <w:rPr>
          <w:b/>
          <w:bCs/>
          <w:color w:val="FF0000"/>
        </w:rPr>
        <w:t xml:space="preserve">dniu </w:t>
      </w:r>
      <w:r w:rsidR="00251C7F">
        <w:rPr>
          <w:b/>
          <w:bCs/>
          <w:color w:val="FF0000"/>
        </w:rPr>
        <w:t xml:space="preserve"> </w:t>
      </w:r>
      <w:r w:rsidR="0047658F">
        <w:rPr>
          <w:b/>
          <w:bCs/>
          <w:color w:val="FF0000"/>
        </w:rPr>
        <w:t>05.06</w:t>
      </w:r>
      <w:bookmarkStart w:id="1" w:name="_GoBack"/>
      <w:bookmarkEnd w:id="1"/>
      <w:r w:rsidR="00404815" w:rsidRPr="00251C7F">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982DF1" w:rsidRPr="004824A0" w:rsidRDefault="00982DF1"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3A07D0">
            <w:pPr>
              <w:rPr>
                <w:b/>
              </w:rPr>
            </w:pPr>
            <w:r w:rsidRPr="003A07D0">
              <w:rPr>
                <w:b/>
              </w:rPr>
              <w:t>60%=60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3A07D0">
            <w:pPr>
              <w:rPr>
                <w:b/>
              </w:rPr>
            </w:pPr>
            <w:r>
              <w:rPr>
                <w:b/>
              </w:rPr>
              <w:t>40%=4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3A07D0">
            <w:pPr>
              <w:rPr>
                <w:b/>
              </w:rPr>
            </w:pPr>
            <w:r w:rsidRPr="003A07D0">
              <w:rPr>
                <w:b/>
              </w:rPr>
              <w:t>100%=100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Default="003A07D0" w:rsidP="003A07D0">
      <w:pPr>
        <w:ind w:left="399"/>
        <w:rPr>
          <w:b/>
        </w:rPr>
      </w:pPr>
    </w:p>
    <w:p w:rsidR="00982DF1" w:rsidRPr="00A4618C" w:rsidRDefault="00982DF1" w:rsidP="00982DF1">
      <w:pPr>
        <w:ind w:left="567" w:hanging="283"/>
        <w:jc w:val="both"/>
        <w:rPr>
          <w:b/>
        </w:rPr>
      </w:pPr>
      <w:r w:rsidRPr="00A4618C">
        <w:t xml:space="preserve">               </w:t>
      </w:r>
      <w:r>
        <w:t xml:space="preserve">      </w:t>
      </w:r>
      <w:r w:rsidRPr="00A4618C">
        <w:rPr>
          <w:b/>
        </w:rPr>
        <w:t xml:space="preserve">C of. min. </w:t>
      </w:r>
    </w:p>
    <w:p w:rsidR="00982DF1" w:rsidRPr="00A4618C" w:rsidRDefault="00982DF1" w:rsidP="00982DF1">
      <w:pPr>
        <w:ind w:left="567" w:hanging="283"/>
        <w:jc w:val="both"/>
        <w:rPr>
          <w:b/>
        </w:rPr>
      </w:pPr>
      <w:r w:rsidRPr="00A4618C">
        <w:rPr>
          <w:b/>
        </w:rPr>
        <w:t xml:space="preserve">    C  =  ------------------------ x 60</w:t>
      </w:r>
    </w:p>
    <w:p w:rsidR="00982DF1" w:rsidRPr="00A4618C" w:rsidRDefault="00982DF1" w:rsidP="00982DF1">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982DF1" w:rsidRDefault="00982DF1" w:rsidP="003A07D0">
      <w:pPr>
        <w:ind w:left="399"/>
        <w:rPr>
          <w:b/>
        </w:rPr>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p w:rsidR="000619F4" w:rsidRPr="00307867" w:rsidRDefault="000619F4" w:rsidP="000619F4">
      <w:pPr>
        <w:tabs>
          <w:tab w:val="left" w:pos="284"/>
          <w:tab w:val="left" w:pos="426"/>
        </w:tabs>
        <w:ind w:left="426"/>
        <w:jc w:val="both"/>
        <w:rPr>
          <w:bCs/>
          <w:sz w:val="22"/>
          <w:szCs w:val="22"/>
        </w:rPr>
      </w:pP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0619F4" w:rsidRPr="00307867" w:rsidTr="00E60D27">
        <w:trPr>
          <w:trHeight w:val="972"/>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p>
          <w:p w:rsidR="000619F4" w:rsidRPr="00307867" w:rsidRDefault="000619F4" w:rsidP="006F1990">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Pr="00307867" w:rsidRDefault="000619F4" w:rsidP="00982DF1">
            <w:pPr>
              <w:tabs>
                <w:tab w:val="left" w:pos="284"/>
                <w:tab w:val="left" w:pos="426"/>
              </w:tabs>
              <w:ind w:left="426"/>
              <w:rPr>
                <w:b/>
                <w:bCs/>
                <w:sz w:val="22"/>
                <w:szCs w:val="22"/>
              </w:rPr>
            </w:pPr>
            <w:r>
              <w:rPr>
                <w:b/>
                <w:bCs/>
                <w:sz w:val="22"/>
                <w:szCs w:val="22"/>
              </w:rPr>
              <w:t>60</w:t>
            </w:r>
            <w:r w:rsidR="00982DF1">
              <w:rPr>
                <w:b/>
                <w:bCs/>
                <w:sz w:val="22"/>
                <w:szCs w:val="22"/>
              </w:rPr>
              <w:t xml:space="preserve"> </w:t>
            </w:r>
            <w:r w:rsidRPr="00307867">
              <w:rPr>
                <w:b/>
                <w:bCs/>
                <w:sz w:val="22"/>
                <w:szCs w:val="22"/>
              </w:rPr>
              <w:t>miesięcy</w:t>
            </w:r>
          </w:p>
          <w:p w:rsidR="000619F4" w:rsidRPr="00307867" w:rsidRDefault="000619F4" w:rsidP="006F1990">
            <w:pPr>
              <w:tabs>
                <w:tab w:val="left" w:pos="284"/>
                <w:tab w:val="left" w:pos="426"/>
              </w:tabs>
              <w:ind w:left="426"/>
              <w:jc w:val="both"/>
              <w:rPr>
                <w:b/>
                <w:bCs/>
                <w:sz w:val="22"/>
                <w:szCs w:val="22"/>
              </w:rPr>
            </w:pP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 xml:space="preserve">48 </w:t>
            </w:r>
            <w:r w:rsidR="00982DF1">
              <w:rPr>
                <w:b/>
                <w:bCs/>
                <w:sz w:val="22"/>
                <w:szCs w:val="22"/>
              </w:rPr>
              <w:t xml:space="preserve"> m</w:t>
            </w:r>
            <w:r w:rsidRPr="00307867">
              <w:rPr>
                <w:b/>
                <w:bCs/>
                <w:sz w:val="22"/>
                <w:szCs w:val="22"/>
              </w:rPr>
              <w:t>iesięcy</w:t>
            </w:r>
          </w:p>
          <w:p w:rsidR="000619F4" w:rsidRPr="00307867" w:rsidRDefault="000619F4" w:rsidP="006F1990">
            <w:pPr>
              <w:tabs>
                <w:tab w:val="left" w:pos="284"/>
                <w:tab w:val="left" w:pos="426"/>
              </w:tabs>
              <w:ind w:left="426"/>
              <w:jc w:val="both"/>
              <w:rPr>
                <w:b/>
                <w:bCs/>
                <w:sz w:val="22"/>
                <w:szCs w:val="22"/>
              </w:rPr>
            </w:pP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36 miesięcy</w:t>
            </w:r>
          </w:p>
          <w:p w:rsidR="000619F4" w:rsidRPr="00307867" w:rsidRDefault="000619F4" w:rsidP="006F1990">
            <w:pPr>
              <w:tabs>
                <w:tab w:val="left" w:pos="284"/>
                <w:tab w:val="left" w:pos="426"/>
              </w:tabs>
              <w:ind w:left="426"/>
              <w:jc w:val="both"/>
              <w:rPr>
                <w:b/>
                <w:bCs/>
                <w:sz w:val="22"/>
                <w:szCs w:val="22"/>
              </w:rPr>
            </w:pPr>
          </w:p>
        </w:tc>
      </w:tr>
      <w:tr w:rsidR="000619F4" w:rsidRPr="00307867" w:rsidTr="00E60D27">
        <w:trPr>
          <w:trHeight w:val="346"/>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0</w:t>
            </w:r>
          </w:p>
        </w:tc>
      </w:tr>
    </w:tbl>
    <w:p w:rsidR="000619F4" w:rsidRPr="00307867" w:rsidRDefault="000619F4" w:rsidP="000619F4">
      <w:pPr>
        <w:tabs>
          <w:tab w:val="left" w:pos="284"/>
          <w:tab w:val="left" w:pos="426"/>
        </w:tabs>
        <w:ind w:left="426"/>
        <w:jc w:val="both"/>
        <w:rPr>
          <w:bCs/>
          <w:sz w:val="22"/>
          <w:szCs w:val="22"/>
        </w:rPr>
      </w:pPr>
    </w:p>
    <w:p w:rsidR="000619F4" w:rsidRPr="00982DF1" w:rsidRDefault="000619F4" w:rsidP="000619F4">
      <w:pPr>
        <w:tabs>
          <w:tab w:val="left" w:pos="284"/>
          <w:tab w:val="left" w:pos="426"/>
        </w:tabs>
        <w:ind w:left="426"/>
        <w:jc w:val="both"/>
        <w:rPr>
          <w:b/>
          <w:bCs/>
          <w:i/>
          <w:color w:val="FF0000"/>
          <w:u w:val="single"/>
        </w:rPr>
      </w:pPr>
      <w:r w:rsidRPr="00982DF1">
        <w:rPr>
          <w:b/>
          <w:bCs/>
          <w:i/>
          <w:color w:val="FF0000"/>
          <w:u w:val="single"/>
        </w:rPr>
        <w:t>Uwaga:</w:t>
      </w:r>
    </w:p>
    <w:p w:rsidR="000619F4" w:rsidRPr="00982DF1" w:rsidRDefault="000619F4" w:rsidP="00982DF1">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sidRPr="00982DF1">
        <w:rPr>
          <w:b/>
          <w:bCs/>
          <w:color w:val="FF0000"/>
        </w:rPr>
        <w:t>36 miesięcy</w:t>
      </w:r>
      <w:r w:rsidRPr="00982DF1">
        <w:rPr>
          <w:b/>
          <w:bCs/>
        </w:rPr>
        <w:t xml:space="preserve">, </w:t>
      </w:r>
      <w:r w:rsidRPr="00982DF1">
        <w:rPr>
          <w:b/>
          <w:bCs/>
          <w:color w:val="FF0000"/>
        </w:rPr>
        <w:t>maksymalny 60 miesięcy</w:t>
      </w:r>
      <w:r w:rsidRPr="00982DF1">
        <w:rPr>
          <w:b/>
          <w:bCs/>
        </w:rPr>
        <w:t>.</w:t>
      </w:r>
    </w:p>
    <w:p w:rsidR="000619F4" w:rsidRPr="00982DF1" w:rsidRDefault="000619F4" w:rsidP="00982DF1">
      <w:pPr>
        <w:tabs>
          <w:tab w:val="left" w:pos="284"/>
          <w:tab w:val="left" w:pos="426"/>
        </w:tabs>
        <w:ind w:left="426"/>
        <w:jc w:val="both"/>
        <w:rPr>
          <w:b/>
          <w:bCs/>
          <w:i/>
          <w:color w:val="FF0000"/>
          <w:u w:val="single"/>
        </w:rPr>
      </w:pPr>
    </w:p>
    <w:p w:rsidR="000619F4" w:rsidRPr="00982DF1" w:rsidRDefault="000619F4" w:rsidP="00982DF1">
      <w:pPr>
        <w:tabs>
          <w:tab w:val="left" w:pos="284"/>
          <w:tab w:val="left" w:pos="426"/>
        </w:tabs>
        <w:jc w:val="both"/>
        <w:rPr>
          <w:b/>
          <w:bCs/>
        </w:rPr>
      </w:pPr>
      <w:r w:rsidRPr="00982DF1">
        <w:rPr>
          <w:b/>
          <w:bCs/>
        </w:rPr>
        <w:t xml:space="preserve">       W przypadku zadeklarowania okresu gwarancji </w:t>
      </w:r>
      <w:r w:rsidRPr="00982DF1">
        <w:rPr>
          <w:b/>
          <w:bCs/>
          <w:color w:val="FF0000"/>
        </w:rPr>
        <w:t>dłuższego niż 60 miesięcy</w:t>
      </w:r>
      <w:r w:rsidRPr="00982DF1">
        <w:rPr>
          <w:b/>
          <w:bCs/>
        </w:rPr>
        <w:t xml:space="preserve">, </w:t>
      </w:r>
      <w:r w:rsidRPr="00982DF1">
        <w:rPr>
          <w:b/>
          <w:bCs/>
        </w:rPr>
        <w:br/>
        <w:t xml:space="preserve">        </w:t>
      </w:r>
      <w:r w:rsidRPr="00982DF1">
        <w:rPr>
          <w:b/>
          <w:bCs/>
          <w:i/>
          <w:color w:val="FF0000"/>
          <w:u w:val="single"/>
        </w:rPr>
        <w:t>Zamawiający przyjmie do oceny okres 60 miesięcy.</w:t>
      </w:r>
    </w:p>
    <w:p w:rsidR="000619F4" w:rsidRPr="00982DF1" w:rsidRDefault="000619F4" w:rsidP="00982DF1">
      <w:pPr>
        <w:tabs>
          <w:tab w:val="left" w:pos="284"/>
          <w:tab w:val="left" w:pos="426"/>
        </w:tabs>
        <w:ind w:left="426"/>
        <w:jc w:val="both"/>
        <w:rPr>
          <w:b/>
          <w:bCs/>
        </w:rPr>
      </w:pPr>
    </w:p>
    <w:p w:rsidR="000619F4" w:rsidRPr="00982DF1" w:rsidRDefault="000619F4" w:rsidP="00982DF1">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 pkt. </w:t>
      </w:r>
      <w:r w:rsidR="00605D7C">
        <w:rPr>
          <w:b/>
          <w:bCs/>
        </w:rPr>
        <w:t>4</w:t>
      </w:r>
      <w:r w:rsidRPr="00982DF1">
        <w:rPr>
          <w:b/>
          <w:bCs/>
        </w:rPr>
        <w:t xml:space="preserve"> spowoduje, że Zamawiający przyjmie do oceny okres gwarancji </w:t>
      </w:r>
      <w:r w:rsidRPr="00982DF1">
        <w:rPr>
          <w:b/>
          <w:bCs/>
        </w:rPr>
        <w:br/>
        <w:t xml:space="preserve">        36 miesięcy.</w:t>
      </w:r>
    </w:p>
    <w:p w:rsidR="000619F4" w:rsidRDefault="000619F4" w:rsidP="00982DF1">
      <w:pPr>
        <w:jc w:val="both"/>
        <w:rPr>
          <w:b/>
        </w:rPr>
      </w:pPr>
      <w:r w:rsidRPr="00982DF1">
        <w:rPr>
          <w:b/>
        </w:rPr>
        <w:t xml:space="preserve">       Za najkorzystniejszą uznana zostanie oferta, która uzyska najwyższą liczbę   </w:t>
      </w:r>
      <w:r w:rsidRPr="00982DF1">
        <w:rPr>
          <w:b/>
        </w:rPr>
        <w:br/>
        <w:t xml:space="preserve">        punktów (</w:t>
      </w:r>
      <w:proofErr w:type="spellStart"/>
      <w:r w:rsidRPr="00982DF1">
        <w:rPr>
          <w:b/>
        </w:rPr>
        <w:t>Sp</w:t>
      </w:r>
      <w:proofErr w:type="spellEnd"/>
      <w:r w:rsidRPr="00982DF1">
        <w:rPr>
          <w:b/>
        </w:rPr>
        <w:t xml:space="preserve">), będącą sumą punktów przyznanych w poszczególnych kryteriach </w:t>
      </w:r>
      <w:r w:rsidRPr="00982DF1">
        <w:rPr>
          <w:b/>
        </w:rPr>
        <w:br/>
        <w:t xml:space="preserve">        i obliczonych wg poniższego wzoru :</w:t>
      </w:r>
    </w:p>
    <w:p w:rsidR="00982DF1" w:rsidRPr="00982DF1" w:rsidRDefault="00982DF1" w:rsidP="00982DF1">
      <w:pPr>
        <w:jc w:val="both"/>
        <w:rPr>
          <w:b/>
        </w:rPr>
      </w:pPr>
    </w:p>
    <w:p w:rsidR="000619F4" w:rsidRPr="003A07D0" w:rsidRDefault="000619F4" w:rsidP="000619F4">
      <w:pPr>
        <w:rPr>
          <w:b/>
        </w:rPr>
      </w:pPr>
      <w:r w:rsidRPr="003A07D0">
        <w:rPr>
          <w:b/>
        </w:rPr>
        <w:t xml:space="preserve">                                                         </w:t>
      </w:r>
      <w:r>
        <w:rPr>
          <w:b/>
        </w:rPr>
        <w:t xml:space="preserve">       </w:t>
      </w:r>
      <w:proofErr w:type="spellStart"/>
      <w:r w:rsidRPr="00C24C23">
        <w:rPr>
          <w:b/>
          <w:color w:val="FF0000"/>
        </w:rPr>
        <w:t>Sp</w:t>
      </w:r>
      <w:proofErr w:type="spellEnd"/>
      <w:r w:rsidRPr="00C24C23">
        <w:rPr>
          <w:b/>
          <w:color w:val="FF0000"/>
        </w:rPr>
        <w:t xml:space="preserve"> = C + G</w:t>
      </w:r>
    </w:p>
    <w:p w:rsidR="000619F4" w:rsidRPr="00C24C23" w:rsidRDefault="000619F4" w:rsidP="000619F4">
      <w:pPr>
        <w:ind w:left="399"/>
        <w:rPr>
          <w:b/>
        </w:rPr>
      </w:pPr>
      <w:r w:rsidRPr="00C24C23">
        <w:rPr>
          <w:b/>
        </w:rPr>
        <w:t>Gdzie:</w:t>
      </w:r>
    </w:p>
    <w:p w:rsidR="000619F4" w:rsidRPr="003A07D0" w:rsidRDefault="000619F4" w:rsidP="000619F4">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0619F4" w:rsidRDefault="000619F4" w:rsidP="000619F4">
      <w:pPr>
        <w:ind w:left="399"/>
      </w:pPr>
      <w:r w:rsidRPr="003A07D0">
        <w:t>C – ilość punktów przyznanych w kryterium Cena</w:t>
      </w:r>
    </w:p>
    <w:p w:rsidR="00982DF1" w:rsidRDefault="00982DF1" w:rsidP="00982DF1">
      <w:pPr>
        <w:ind w:left="285"/>
        <w:jc w:val="both"/>
        <w:rPr>
          <w:rFonts w:cs="Aharoni"/>
        </w:rPr>
      </w:pPr>
      <w:r>
        <w:rPr>
          <w:rFonts w:cs="Aharoni"/>
        </w:rPr>
        <w:t xml:space="preserve">  </w:t>
      </w:r>
      <w:proofErr w:type="spellStart"/>
      <w:r>
        <w:rPr>
          <w:rFonts w:cs="Aharoni"/>
        </w:rPr>
        <w:t>Cof.min</w:t>
      </w:r>
      <w:proofErr w:type="spellEnd"/>
      <w:r>
        <w:rPr>
          <w:rFonts w:cs="Aharoni"/>
        </w:rPr>
        <w:t>. – najniższa cena spośród ofert nie podlegających odrzuceniu i złożonych przez</w:t>
      </w:r>
      <w:r>
        <w:rPr>
          <w:rFonts w:cs="Aharoni"/>
        </w:rPr>
        <w:br/>
        <w:t xml:space="preserve">  wykonawców którzy nie podlegali wykluczeniu w danym etapie badania i oceny ofert</w:t>
      </w:r>
    </w:p>
    <w:p w:rsidR="00982DF1" w:rsidRPr="003A07D0" w:rsidRDefault="00982DF1" w:rsidP="00982DF1">
      <w:pPr>
        <w:ind w:left="285"/>
        <w:jc w:val="both"/>
      </w:pPr>
      <w:r>
        <w:rPr>
          <w:rFonts w:cs="Aharoni"/>
        </w:rPr>
        <w:t xml:space="preserve">  </w:t>
      </w: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A4348E" w:rsidRDefault="000619F4" w:rsidP="00194C18">
      <w:pPr>
        <w:ind w:left="399"/>
      </w:pPr>
      <w:r>
        <w:t xml:space="preserve">G </w:t>
      </w:r>
      <w:r w:rsidRPr="003A07D0">
        <w:t xml:space="preserve">– ilość punktów przyznanych w kryterium </w:t>
      </w:r>
      <w:r>
        <w:t>Gwa</w:t>
      </w:r>
      <w:r w:rsidR="00194C18">
        <w:t>rancja udzielona przez Wykonawc</w:t>
      </w:r>
      <w:r w:rsidR="00C87B8A">
        <w:t>ę</w:t>
      </w:r>
    </w:p>
    <w:p w:rsidR="00742FF3" w:rsidRDefault="008019B2" w:rsidP="00DB3829">
      <w:pPr>
        <w:rPr>
          <w:b/>
          <w:i/>
          <w:color w:val="FF0000"/>
        </w:rPr>
      </w:pPr>
      <w:r>
        <w:rPr>
          <w:b/>
          <w:color w:val="FF0000"/>
        </w:rPr>
        <w:t xml:space="preserve">       </w:t>
      </w:r>
      <w:r w:rsidRPr="008019B2">
        <w:rPr>
          <w:b/>
          <w:i/>
          <w:color w:val="FF0000"/>
        </w:rPr>
        <w:t>Okres gwarancji będzie równy okresowi rękojmi</w:t>
      </w:r>
      <w:r w:rsidR="00982DF1">
        <w:rPr>
          <w:b/>
          <w:i/>
          <w:color w:val="FF0000"/>
        </w:rPr>
        <w:t>.</w:t>
      </w:r>
    </w:p>
    <w:p w:rsidR="00982DF1" w:rsidRPr="008019B2" w:rsidRDefault="00982DF1" w:rsidP="00DB3829">
      <w:pPr>
        <w:rPr>
          <w:b/>
          <w:i/>
          <w:color w:val="FF0000"/>
        </w:rPr>
      </w:pPr>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rFonts w:eastAsia="Calibri"/>
        </w:rPr>
        <w:t xml:space="preserve">Cena podana przez Wykonawcę w ofercie powinna zawierać podatek od towarów </w:t>
      </w:r>
      <w:r w:rsidRPr="00801E4D">
        <w:rPr>
          <w:rFonts w:eastAsia="Calibri"/>
        </w:rPr>
        <w:br/>
        <w:t xml:space="preserve">     i usług (VAT) w wysokości 23% oraz ewentualne upusty zastosowane przez </w:t>
      </w:r>
      <w:r w:rsidRPr="00801E4D">
        <w:rPr>
          <w:rFonts w:eastAsia="Calibri"/>
        </w:rPr>
        <w:br/>
        <w:t xml:space="preserve">     Wykonawcę.</w:t>
      </w:r>
    </w:p>
    <w:p w:rsidR="003A07D0" w:rsidRPr="00933985" w:rsidRDefault="003A07D0" w:rsidP="009E1C17">
      <w:pPr>
        <w:numPr>
          <w:ilvl w:val="0"/>
          <w:numId w:val="21"/>
        </w:numPr>
        <w:suppressAutoHyphens/>
        <w:ind w:left="426"/>
        <w:jc w:val="both"/>
        <w:rPr>
          <w:b/>
          <w:i/>
          <w:color w:val="0070C0"/>
          <w:u w:val="single"/>
        </w:rPr>
      </w:pPr>
      <w:r w:rsidRPr="005F18FA">
        <w:rPr>
          <w:color w:val="0070C0"/>
        </w:rPr>
        <w:t>Zamawiający załącza jako dokument pomocniczy przedmiar robót, który wykonawca może wykorzystać przy opracowaniu własnego przedmiaru robót, lecz nie jest to dokument dla niego wiążący.</w:t>
      </w:r>
    </w:p>
    <w:p w:rsidR="003A07D0" w:rsidRPr="00ED0986" w:rsidRDefault="006821C6" w:rsidP="009E1C17">
      <w:pPr>
        <w:numPr>
          <w:ilvl w:val="0"/>
          <w:numId w:val="21"/>
        </w:numPr>
        <w:ind w:left="142" w:firstLine="0"/>
        <w:jc w:val="both"/>
        <w:rPr>
          <w:b/>
          <w:i/>
          <w:color w:val="FF0000"/>
          <w:u w:val="single"/>
        </w:rPr>
      </w:pPr>
      <w:r>
        <w:t xml:space="preserve"> </w:t>
      </w:r>
      <w:r w:rsidR="003A07D0">
        <w:t xml:space="preserve">Jeżeli Wykonawca złoży ofertę, której wybór prowadziłby do powstania obowiązku </w:t>
      </w:r>
      <w:r w:rsidR="003A07D0">
        <w:br/>
        <w:t xml:space="preserve">      podatkowego u Zamawiającego, zgodnie z przepisami o podatku od  towarów </w:t>
      </w:r>
      <w:r w:rsidR="003A07D0">
        <w:br/>
        <w:t xml:space="preserve">      i usług, Zamawiający w celu oceny takiej oferty doliczy do przedstawionej w niej </w:t>
      </w:r>
      <w:r w:rsidR="003A07D0">
        <w:br/>
        <w:t xml:space="preserve">      ceny podatek od towarów i usług, który miałby obowiązek rozliczyć zgodnie </w:t>
      </w:r>
      <w:r w:rsidR="003A07D0">
        <w:br/>
        <w:t xml:space="preserve">      z obowiązującymi przepisami. </w:t>
      </w:r>
      <w:r w:rsidR="003A07D0" w:rsidRPr="00ED0986">
        <w:rPr>
          <w:color w:val="FF0000"/>
        </w:rPr>
        <w:t xml:space="preserve">Wykonawca, składając ofertę informuje </w:t>
      </w:r>
      <w:r w:rsidR="003A07D0" w:rsidRPr="00ED0986">
        <w:rPr>
          <w:color w:val="FF0000"/>
        </w:rPr>
        <w:br/>
        <w:t xml:space="preserve">      zamawiającego, czy wybór oferty będzie prowadzić do powstania u zamawiającego </w:t>
      </w:r>
      <w:r w:rsidR="003A07D0" w:rsidRPr="00ED0986">
        <w:rPr>
          <w:color w:val="FF0000"/>
        </w:rPr>
        <w:br/>
        <w:t xml:space="preserve">      obowiązku podatkowego, wskazując nazwę (rodzaj) towaru lub usługi, których </w:t>
      </w:r>
      <w:r w:rsidR="003A07D0" w:rsidRPr="00ED0986">
        <w:rPr>
          <w:color w:val="FF0000"/>
        </w:rPr>
        <w:br/>
        <w:t xml:space="preserve">      dostawa lub świadczenie będzie prowadzić do jego powstania oraz wskazując ich </w:t>
      </w:r>
      <w:r w:rsidR="003A07D0" w:rsidRPr="00ED098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1C44F2" w:rsidP="009E1C17">
      <w:pPr>
        <w:pStyle w:val="Akapitzlist"/>
        <w:numPr>
          <w:ilvl w:val="0"/>
          <w:numId w:val="25"/>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sidR="006F1990">
        <w:rPr>
          <w:bCs/>
        </w:rPr>
        <w:t xml:space="preserve">dokument potwierdzający, że Wykonawca jest </w:t>
      </w:r>
      <w:r w:rsidRPr="00FE6C17">
        <w:rPr>
          <w:bCs/>
        </w:rPr>
        <w:t>ubezpiecz</w:t>
      </w:r>
      <w:r w:rsidR="006F1990">
        <w:rPr>
          <w:bCs/>
        </w:rPr>
        <w:t>ony</w:t>
      </w:r>
      <w:r w:rsidRPr="00FE6C17">
        <w:rPr>
          <w:bCs/>
        </w:rPr>
        <w:t xml:space="preserve"> od odpowiedzialności cywilnej w zakresie prowadzonej działalności</w:t>
      </w:r>
      <w:r w:rsidR="00972715">
        <w:rPr>
          <w:bCs/>
        </w:rPr>
        <w:t xml:space="preserve"> </w:t>
      </w:r>
      <w:r w:rsidR="006F1990">
        <w:rPr>
          <w:bCs/>
        </w:rPr>
        <w:t xml:space="preserve">związanej z przedmiotem zamówienia </w:t>
      </w:r>
      <w:r w:rsidR="00972715">
        <w:rPr>
          <w:bCs/>
        </w:rPr>
        <w:t xml:space="preserve">na </w:t>
      </w:r>
      <w:r w:rsidR="006F1990">
        <w:rPr>
          <w:bCs/>
        </w:rPr>
        <w:t xml:space="preserve">sumę gwarancyjną </w:t>
      </w:r>
      <w:r w:rsidR="00CF4729">
        <w:rPr>
          <w:bCs/>
        </w:rPr>
        <w:t xml:space="preserve">co najmniej </w:t>
      </w:r>
      <w:r w:rsidR="00972715">
        <w:rPr>
          <w:bCs/>
        </w:rPr>
        <w:t xml:space="preserve"> </w:t>
      </w:r>
      <w:r w:rsidR="00CF4729">
        <w:rPr>
          <w:b/>
          <w:bCs/>
          <w:color w:val="FF0000"/>
        </w:rPr>
        <w:t>1</w:t>
      </w:r>
      <w:r w:rsidR="00BB6059" w:rsidRPr="00BB6059">
        <w:rPr>
          <w:b/>
          <w:bCs/>
          <w:color w:val="FF0000"/>
        </w:rPr>
        <w:t>00 000,00</w:t>
      </w:r>
      <w:r w:rsidR="00CF4729">
        <w:rPr>
          <w:b/>
          <w:bCs/>
          <w:color w:val="FF0000"/>
        </w:rPr>
        <w:t xml:space="preserve"> PLN (</w:t>
      </w:r>
      <w:r w:rsidR="0011189A">
        <w:rPr>
          <w:b/>
          <w:bCs/>
          <w:color w:val="FF0000"/>
        </w:rPr>
        <w:t xml:space="preserve">słownie: </w:t>
      </w:r>
      <w:r w:rsidR="00CF4729">
        <w:rPr>
          <w:b/>
          <w:bCs/>
          <w:color w:val="FF0000"/>
        </w:rPr>
        <w:t>sto tysięcy</w:t>
      </w:r>
      <w:r w:rsidR="00DD3FAA">
        <w:rPr>
          <w:b/>
          <w:bCs/>
          <w:color w:val="FF0000"/>
        </w:rPr>
        <w:t xml:space="preserve"> złotych</w:t>
      </w:r>
      <w:r w:rsidR="00CF4729">
        <w:rPr>
          <w:b/>
          <w:bCs/>
          <w:color w:val="FF0000"/>
        </w:rPr>
        <w:t xml:space="preserve"> 00/100).</w:t>
      </w:r>
    </w:p>
    <w:p w:rsidR="001C44F2" w:rsidRPr="00FE6C17"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dokument potwierdzający zawarcie umowy ubezpieczenia od odpowiedzialności cywilnej w zakresie prowadzonej działalności. </w:t>
      </w:r>
    </w:p>
    <w:p w:rsidR="009575AE" w:rsidRPr="004824A0" w:rsidRDefault="009575AE"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6F1990">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90" w:rsidRDefault="006F1990">
      <w:r>
        <w:separator/>
      </w:r>
    </w:p>
  </w:endnote>
  <w:endnote w:type="continuationSeparator" w:id="0">
    <w:p w:rsidR="006F1990" w:rsidRDefault="006F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90" w:rsidRPr="00877452" w:rsidRDefault="006F1990" w:rsidP="00033FCA">
    <w:pPr>
      <w:pStyle w:val="Stopka"/>
      <w:jc w:val="center"/>
      <w:rPr>
        <w:rFonts w:ascii="Arial" w:hAnsi="Arial" w:cs="Arial"/>
        <w:color w:val="000000"/>
        <w:sz w:val="16"/>
        <w:szCs w:val="16"/>
        <w:lang w:val="pl-PL"/>
      </w:rPr>
    </w:pPr>
  </w:p>
  <w:p w:rsidR="006F1990" w:rsidRPr="00033FCA" w:rsidRDefault="006F1990"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47658F">
      <w:rPr>
        <w:rFonts w:ascii="Arial" w:hAnsi="Arial" w:cs="Arial"/>
        <w:noProof/>
        <w:color w:val="000000"/>
        <w:sz w:val="18"/>
        <w:szCs w:val="18"/>
      </w:rPr>
      <w:t>19</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47658F">
      <w:rPr>
        <w:rFonts w:ascii="Arial" w:hAnsi="Arial" w:cs="Arial"/>
        <w:noProof/>
        <w:color w:val="000000"/>
        <w:sz w:val="18"/>
        <w:szCs w:val="18"/>
      </w:rPr>
      <w:t>19</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90" w:rsidRDefault="006F1990">
      <w:r>
        <w:separator/>
      </w:r>
    </w:p>
  </w:footnote>
  <w:footnote w:type="continuationSeparator" w:id="0">
    <w:p w:rsidR="006F1990" w:rsidRDefault="006F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E22F9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FB4885"/>
    <w:multiLevelType w:val="hybridMultilevel"/>
    <w:tmpl w:val="6CEC3390"/>
    <w:lvl w:ilvl="0" w:tplc="47F60B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6DF47798"/>
    <w:multiLevelType w:val="hybridMultilevel"/>
    <w:tmpl w:val="5524B97C"/>
    <w:lvl w:ilvl="0" w:tplc="C9BA8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50"/>
  </w:num>
  <w:num w:numId="8">
    <w:abstractNumId w:val="46"/>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49"/>
  </w:num>
  <w:num w:numId="16">
    <w:abstractNumId w:val="31"/>
  </w:num>
  <w:num w:numId="17">
    <w:abstractNumId w:val="39"/>
  </w:num>
  <w:num w:numId="18">
    <w:abstractNumId w:val="27"/>
  </w:num>
  <w:num w:numId="19">
    <w:abstractNumId w:val="51"/>
  </w:num>
  <w:num w:numId="20">
    <w:abstractNumId w:val="52"/>
  </w:num>
  <w:num w:numId="21">
    <w:abstractNumId w:val="44"/>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5"/>
  </w:num>
  <w:num w:numId="27">
    <w:abstractNumId w:val="40"/>
  </w:num>
  <w:num w:numId="28">
    <w:abstractNumId w:val="28"/>
  </w:num>
  <w:num w:numId="29">
    <w:abstractNumId w:val="41"/>
  </w:num>
  <w:num w:numId="30">
    <w:abstractNumId w:val="16"/>
  </w:num>
  <w:num w:numId="31">
    <w:abstractNumId w:val="47"/>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 w:numId="39">
    <w:abstractNumId w:val="48"/>
  </w:num>
  <w:num w:numId="40">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3A92"/>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9A5"/>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7C6"/>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1C7F"/>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EBE"/>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58F"/>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4E59"/>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5D7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1990"/>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30"/>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6450"/>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DF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15C"/>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988"/>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87B8A"/>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457"/>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48"/>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3FAA"/>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0D27"/>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5FE8"/>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B8A"/>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869">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RNWUUiISzcz@orange.com"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5237-D34F-4142-9786-FD96D49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19</Pages>
  <Words>6591</Words>
  <Characters>43428</Characters>
  <Application>Microsoft Office Word</Application>
  <DocSecurity>0</DocSecurity>
  <Lines>361</Lines>
  <Paragraphs>99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49920</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74</cp:revision>
  <cp:lastPrinted>2017-05-17T05:07:00Z</cp:lastPrinted>
  <dcterms:created xsi:type="dcterms:W3CDTF">2016-09-06T06:50:00Z</dcterms:created>
  <dcterms:modified xsi:type="dcterms:W3CDTF">2017-05-18T10:27:00Z</dcterms:modified>
</cp:coreProperties>
</file>